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0D" w:rsidRPr="0084570D" w:rsidRDefault="0084570D" w:rsidP="0084570D">
      <w:pPr>
        <w:pStyle w:val="NormalWeb"/>
        <w:spacing w:before="0" w:beforeAutospacing="0" w:after="0" w:afterAutospacing="0"/>
        <w:jc w:val="both"/>
        <w:rPr>
          <w:b/>
          <w:color w:val="auto"/>
          <w:u w:val="single"/>
          <w:lang w:val="fr-FR"/>
        </w:rPr>
      </w:pPr>
      <w:bookmarkStart w:id="0" w:name="_GoBack"/>
      <w:bookmarkEnd w:id="0"/>
      <w:r w:rsidRPr="0084570D">
        <w:rPr>
          <w:b/>
          <w:color w:val="auto"/>
          <w:u w:val="single"/>
          <w:lang w:val="fr-FR"/>
        </w:rPr>
        <w:t>6146 : RESUME</w:t>
      </w:r>
    </w:p>
    <w:p w:rsidR="0084570D" w:rsidRDefault="0084570D" w:rsidP="0084570D">
      <w:pPr>
        <w:pStyle w:val="NormalWeb"/>
        <w:spacing w:before="0" w:beforeAutospacing="0" w:after="0" w:afterAutospacing="0"/>
        <w:jc w:val="both"/>
        <w:rPr>
          <w:color w:val="auto"/>
          <w:lang w:val="fr-FR"/>
        </w:rPr>
      </w:pPr>
    </w:p>
    <w:p w:rsidR="0084570D" w:rsidRDefault="0084570D" w:rsidP="0084570D">
      <w:pPr>
        <w:pStyle w:val="NormalWeb"/>
        <w:spacing w:before="0" w:beforeAutospacing="0" w:after="0" w:afterAutospacing="0"/>
        <w:jc w:val="both"/>
        <w:rPr>
          <w:color w:val="auto"/>
          <w:lang w:val="fr-FR"/>
        </w:rPr>
      </w:pPr>
      <w:r w:rsidRPr="00EE63CF">
        <w:rPr>
          <w:color w:val="auto"/>
          <w:lang w:val="fr-FR"/>
        </w:rPr>
        <w:t xml:space="preserve">Le projet </w:t>
      </w:r>
      <w:r>
        <w:rPr>
          <w:color w:val="auto"/>
          <w:lang w:val="fr-FR"/>
        </w:rPr>
        <w:t>de loi 6146</w:t>
      </w:r>
      <w:r w:rsidRPr="00EE63CF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 xml:space="preserve">a pour but </w:t>
      </w:r>
      <w:r w:rsidRPr="00EE63CF">
        <w:rPr>
          <w:color w:val="auto"/>
          <w:lang w:val="fr-FR"/>
        </w:rPr>
        <w:t>de compléter l’article 10 de la loi modifiée du 10 mai 1995 relative à la gestion de l’infrastructure ferroviaire par un point 25 permettant à l’Etat via le Fon</w:t>
      </w:r>
      <w:r>
        <w:rPr>
          <w:color w:val="auto"/>
          <w:lang w:val="fr-FR"/>
        </w:rPr>
        <w:t>ds</w:t>
      </w:r>
      <w:r w:rsidRPr="00EE63CF">
        <w:rPr>
          <w:color w:val="auto"/>
          <w:lang w:val="fr-FR"/>
        </w:rPr>
        <w:t xml:space="preserve"> du </w:t>
      </w:r>
      <w:r>
        <w:rPr>
          <w:color w:val="auto"/>
          <w:lang w:val="fr-FR"/>
        </w:rPr>
        <w:t>r</w:t>
      </w:r>
      <w:r w:rsidRPr="00EE63CF">
        <w:rPr>
          <w:color w:val="auto"/>
          <w:lang w:val="fr-FR"/>
        </w:rPr>
        <w:t>ail de financer la première phase de l’aménagement d’u</w:t>
      </w:r>
      <w:r>
        <w:rPr>
          <w:color w:val="auto"/>
          <w:lang w:val="fr-FR"/>
        </w:rPr>
        <w:t xml:space="preserve">ne gare périphérique au </w:t>
      </w:r>
      <w:proofErr w:type="spellStart"/>
      <w:r>
        <w:rPr>
          <w:color w:val="auto"/>
          <w:lang w:val="fr-FR"/>
        </w:rPr>
        <w:t>Howald</w:t>
      </w:r>
      <w:proofErr w:type="spellEnd"/>
      <w:r>
        <w:rPr>
          <w:color w:val="auto"/>
          <w:lang w:val="fr-FR"/>
        </w:rPr>
        <w:t xml:space="preserve"> pour un montant de 42.87</w:t>
      </w:r>
      <w:r w:rsidRPr="00EE63CF">
        <w:rPr>
          <w:color w:val="auto"/>
          <w:lang w:val="fr-FR"/>
        </w:rPr>
        <w:t>8</w:t>
      </w:r>
      <w:r>
        <w:rPr>
          <w:color w:val="auto"/>
          <w:lang w:val="fr-FR"/>
        </w:rPr>
        <w:t>.500</w:t>
      </w:r>
      <w:r w:rsidRPr="00EE63CF">
        <w:rPr>
          <w:color w:val="auto"/>
          <w:lang w:val="fr-FR"/>
        </w:rPr>
        <w:t xml:space="preserve"> euros.</w:t>
      </w:r>
    </w:p>
    <w:p w:rsidR="0084570D" w:rsidRPr="00EE63CF" w:rsidRDefault="0084570D" w:rsidP="0084570D">
      <w:pPr>
        <w:pStyle w:val="NormalWeb"/>
        <w:spacing w:before="0" w:beforeAutospacing="0" w:after="0" w:afterAutospacing="0"/>
        <w:ind w:left="1701" w:firstLine="567"/>
        <w:jc w:val="both"/>
        <w:rPr>
          <w:color w:val="auto"/>
          <w:lang w:val="fr-FR"/>
        </w:rPr>
      </w:pPr>
    </w:p>
    <w:p w:rsidR="0084570D" w:rsidRDefault="0084570D" w:rsidP="0084570D">
      <w:pPr>
        <w:pStyle w:val="NormalWeb"/>
        <w:spacing w:before="0" w:beforeAutospacing="0" w:after="0" w:afterAutospacing="0"/>
        <w:jc w:val="both"/>
        <w:rPr>
          <w:color w:val="auto"/>
          <w:lang w:val="fr-FR"/>
        </w:rPr>
      </w:pPr>
      <w:r w:rsidRPr="00EE63CF">
        <w:rPr>
          <w:color w:val="auto"/>
          <w:lang w:val="fr-FR"/>
        </w:rPr>
        <w:t>En fait</w:t>
      </w:r>
      <w:r>
        <w:rPr>
          <w:color w:val="auto"/>
          <w:lang w:val="fr-FR"/>
        </w:rPr>
        <w:t>,</w:t>
      </w:r>
      <w:r w:rsidRPr="00EE63CF">
        <w:rPr>
          <w:color w:val="auto"/>
          <w:lang w:val="fr-FR"/>
        </w:rPr>
        <w:t xml:space="preserve"> la première phase de cet investissement d’envergure que sera la gare périphérique ne concerne pas uniquement l’aménagement d’un quai</w:t>
      </w:r>
      <w:r>
        <w:rPr>
          <w:color w:val="auto"/>
          <w:lang w:val="fr-FR"/>
        </w:rPr>
        <w:t xml:space="preserve"> </w:t>
      </w:r>
      <w:r w:rsidRPr="00EE63CF">
        <w:rPr>
          <w:color w:val="auto"/>
          <w:lang w:val="fr-FR"/>
        </w:rPr>
        <w:t>qui fera partie intégrante de la gare proprement dite et prévue à la phase 2, mais prévoit aussi du point de vue du concept d’exploitation future la réalisation préliminaire des installations suiva</w:t>
      </w:r>
      <w:r>
        <w:rPr>
          <w:color w:val="auto"/>
          <w:lang w:val="fr-FR"/>
        </w:rPr>
        <w:t>ntes</w:t>
      </w:r>
      <w:r w:rsidRPr="00EE63CF">
        <w:rPr>
          <w:color w:val="auto"/>
          <w:lang w:val="fr-FR"/>
        </w:rPr>
        <w:t>:</w:t>
      </w:r>
    </w:p>
    <w:p w:rsidR="0084570D" w:rsidRPr="00EE63CF" w:rsidRDefault="0084570D" w:rsidP="0084570D">
      <w:pPr>
        <w:pStyle w:val="NormalWeb"/>
        <w:spacing w:before="0" w:beforeAutospacing="0" w:after="0" w:afterAutospacing="0"/>
        <w:ind w:left="1701" w:firstLine="567"/>
        <w:jc w:val="both"/>
        <w:rPr>
          <w:color w:val="auto"/>
          <w:lang w:val="fr-FR"/>
        </w:rPr>
      </w:pPr>
    </w:p>
    <w:p w:rsidR="0084570D" w:rsidRDefault="0084570D" w:rsidP="0084570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lang w:val="fr-FR"/>
        </w:rPr>
      </w:pPr>
      <w:r w:rsidRPr="00EE63CF">
        <w:rPr>
          <w:color w:val="auto"/>
          <w:lang w:val="fr-FR"/>
        </w:rPr>
        <w:t>raccordement des voies 10 et 11 par l’installation d’un appareil de voies supplémentaire au Sud de la gare centrale</w:t>
      </w:r>
      <w:r>
        <w:rPr>
          <w:color w:val="auto"/>
          <w:lang w:val="fr-FR"/>
        </w:rPr>
        <w:t>;</w:t>
      </w:r>
    </w:p>
    <w:p w:rsidR="0084570D" w:rsidRPr="00EE63CF" w:rsidRDefault="0084570D" w:rsidP="0084570D">
      <w:pPr>
        <w:pStyle w:val="NormalWeb"/>
        <w:spacing w:before="0" w:beforeAutospacing="0" w:after="0" w:afterAutospacing="0"/>
        <w:ind w:left="2552" w:hanging="284"/>
        <w:jc w:val="both"/>
        <w:rPr>
          <w:color w:val="auto"/>
          <w:lang w:val="fr-FR"/>
        </w:rPr>
      </w:pPr>
    </w:p>
    <w:p w:rsidR="0084570D" w:rsidRDefault="0084570D" w:rsidP="0084570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lang w:val="fr-FR"/>
        </w:rPr>
      </w:pPr>
      <w:r w:rsidRPr="00EE63CF">
        <w:rPr>
          <w:color w:val="auto"/>
          <w:lang w:val="fr-FR"/>
        </w:rPr>
        <w:t>des adaptations au triage de Luxembourg par un renouvellement des installations ferroviaires (voies 150-154) à Luxembourg Sud.</w:t>
      </w:r>
    </w:p>
    <w:p w:rsidR="0084570D" w:rsidRPr="00EE63CF" w:rsidRDefault="0084570D" w:rsidP="0084570D">
      <w:pPr>
        <w:pStyle w:val="NormalWeb"/>
        <w:spacing w:before="0" w:beforeAutospacing="0" w:after="0" w:afterAutospacing="0"/>
        <w:ind w:left="1701" w:firstLine="567"/>
        <w:jc w:val="both"/>
        <w:rPr>
          <w:color w:val="auto"/>
          <w:lang w:val="fr-FR"/>
        </w:rPr>
      </w:pPr>
    </w:p>
    <w:p w:rsidR="0084570D" w:rsidRDefault="0084570D" w:rsidP="0084570D">
      <w:pPr>
        <w:pStyle w:val="NormalWeb"/>
        <w:spacing w:before="0" w:beforeAutospacing="0" w:after="0" w:afterAutospacing="0"/>
        <w:jc w:val="both"/>
        <w:rPr>
          <w:color w:val="auto"/>
          <w:lang w:val="fr-FR"/>
        </w:rPr>
      </w:pPr>
      <w:r w:rsidRPr="00EE63CF">
        <w:rPr>
          <w:color w:val="auto"/>
          <w:lang w:val="fr-FR"/>
        </w:rPr>
        <w:t>La gare périphéri</w:t>
      </w:r>
      <w:r>
        <w:rPr>
          <w:color w:val="auto"/>
          <w:lang w:val="fr-FR"/>
        </w:rPr>
        <w:t xml:space="preserve">que de </w:t>
      </w:r>
      <w:proofErr w:type="spellStart"/>
      <w:r>
        <w:rPr>
          <w:color w:val="auto"/>
          <w:lang w:val="fr-FR"/>
        </w:rPr>
        <w:t>Howald</w:t>
      </w:r>
      <w:proofErr w:type="spellEnd"/>
      <w:r>
        <w:rPr>
          <w:color w:val="auto"/>
          <w:lang w:val="fr-FR"/>
        </w:rPr>
        <w:t xml:space="preserve"> constitue selon la version actuellement disponible du projet de</w:t>
      </w:r>
      <w:r w:rsidRPr="00EE63CF">
        <w:rPr>
          <w:color w:val="auto"/>
          <w:lang w:val="fr-FR"/>
        </w:rPr>
        <w:t xml:space="preserve"> plan directeur sectoriel « Transports » un élément clef dans le concept de mobilité urbaine et périurbaine et ceci notamment</w:t>
      </w:r>
      <w:r>
        <w:rPr>
          <w:color w:val="auto"/>
          <w:lang w:val="fr-FR"/>
        </w:rPr>
        <w:t xml:space="preserve"> </w:t>
      </w:r>
      <w:r w:rsidRPr="00EE63CF">
        <w:rPr>
          <w:color w:val="auto"/>
          <w:lang w:val="fr-FR"/>
        </w:rPr>
        <w:t>pour le futur tissu urbain « Ban de Gasperich »</w:t>
      </w:r>
      <w:r>
        <w:rPr>
          <w:color w:val="auto"/>
          <w:lang w:val="fr-FR"/>
        </w:rPr>
        <w:t xml:space="preserve">. </w:t>
      </w:r>
      <w:r w:rsidRPr="00EE63CF">
        <w:rPr>
          <w:color w:val="auto"/>
          <w:lang w:val="fr-FR"/>
        </w:rPr>
        <w:t>Elle ne devrait pas se limiter à constituer un raccordement performant au réseau ferré classique</w:t>
      </w:r>
      <w:r>
        <w:rPr>
          <w:color w:val="auto"/>
          <w:lang w:val="fr-FR"/>
        </w:rPr>
        <w:t>,</w:t>
      </w:r>
      <w:r w:rsidRPr="00EE63CF">
        <w:rPr>
          <w:color w:val="auto"/>
          <w:lang w:val="fr-FR"/>
        </w:rPr>
        <w:t xml:space="preserve"> mais servir de base pour la desserte des transports en commun en assurant la jonction entre le train classique et les moyens de transports urbains qu</w:t>
      </w:r>
      <w:r>
        <w:rPr>
          <w:color w:val="auto"/>
          <w:lang w:val="fr-FR"/>
        </w:rPr>
        <w:t>e</w:t>
      </w:r>
      <w:r w:rsidRPr="00EE63CF">
        <w:rPr>
          <w:color w:val="auto"/>
          <w:lang w:val="fr-FR"/>
        </w:rPr>
        <w:t xml:space="preserve"> seront le tram et le bus.</w:t>
      </w:r>
    </w:p>
    <w:p w:rsidR="0084570D" w:rsidRPr="00EE63CF" w:rsidRDefault="0084570D" w:rsidP="0084570D">
      <w:pPr>
        <w:pStyle w:val="NormalWeb"/>
        <w:spacing w:before="0" w:beforeAutospacing="0" w:after="0" w:afterAutospacing="0"/>
        <w:ind w:left="1701" w:firstLine="567"/>
        <w:jc w:val="both"/>
        <w:rPr>
          <w:color w:val="auto"/>
          <w:lang w:val="fr-FR"/>
        </w:rPr>
      </w:pPr>
    </w:p>
    <w:p w:rsidR="0084570D" w:rsidRDefault="0084570D" w:rsidP="0084570D">
      <w:pPr>
        <w:pStyle w:val="NormalWeb"/>
        <w:spacing w:before="0" w:beforeAutospacing="0" w:after="0" w:afterAutospacing="0"/>
        <w:jc w:val="both"/>
        <w:rPr>
          <w:color w:val="auto"/>
          <w:lang w:val="fr-FR"/>
        </w:rPr>
      </w:pPr>
      <w:r w:rsidRPr="00EE63CF">
        <w:rPr>
          <w:color w:val="auto"/>
          <w:lang w:val="fr-FR"/>
        </w:rPr>
        <w:t>Le</w:t>
      </w:r>
      <w:r>
        <w:rPr>
          <w:color w:val="auto"/>
          <w:lang w:val="fr-FR"/>
        </w:rPr>
        <w:t xml:space="preserve"> quai à voyageurs unique, prévu</w:t>
      </w:r>
      <w:r w:rsidRPr="00EE63CF">
        <w:rPr>
          <w:color w:val="auto"/>
          <w:lang w:val="fr-FR"/>
        </w:rPr>
        <w:t xml:space="preserve"> dans le cadre du projet </w:t>
      </w:r>
      <w:r>
        <w:rPr>
          <w:color w:val="auto"/>
          <w:lang w:val="fr-FR"/>
        </w:rPr>
        <w:t>6146</w:t>
      </w:r>
      <w:r w:rsidRPr="00EE63CF">
        <w:rPr>
          <w:color w:val="auto"/>
          <w:lang w:val="fr-FR"/>
        </w:rPr>
        <w:t>, sera accessible par le biais d’une p</w:t>
      </w:r>
      <w:r>
        <w:rPr>
          <w:color w:val="auto"/>
          <w:lang w:val="fr-FR"/>
        </w:rPr>
        <w:t>asserelle provisoire censée</w:t>
      </w:r>
      <w:r w:rsidRPr="00EE63CF">
        <w:rPr>
          <w:color w:val="auto"/>
          <w:lang w:val="fr-FR"/>
        </w:rPr>
        <w:t xml:space="preserve"> être remplacée par un bâtiment voyageur</w:t>
      </w:r>
      <w:r>
        <w:rPr>
          <w:color w:val="auto"/>
          <w:lang w:val="fr-FR"/>
        </w:rPr>
        <w:t>s</w:t>
      </w:r>
      <w:r w:rsidRPr="00EE63CF">
        <w:rPr>
          <w:color w:val="auto"/>
          <w:lang w:val="fr-FR"/>
        </w:rPr>
        <w:t xml:space="preserve"> donnant accès à la fois au quai qui fait l’objet de ce projet et à un deuxième qui sera construit dans la phase 2 ensemble avec le bâtiment voyageur, une gare routière, une dépose-minute pour les voitures individuelles, une prise en charge taxis ainsi qu’un arrêt pour le tram. </w:t>
      </w:r>
    </w:p>
    <w:p w:rsidR="00C54ECC" w:rsidRPr="0084570D" w:rsidRDefault="00C54ECC">
      <w:pPr>
        <w:rPr>
          <w:lang w:val="fr-FR"/>
        </w:rPr>
      </w:pPr>
    </w:p>
    <w:sectPr w:rsidR="00C54ECC" w:rsidRPr="0084570D" w:rsidSect="00C5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647C"/>
    <w:multiLevelType w:val="hybridMultilevel"/>
    <w:tmpl w:val="EC50675E"/>
    <w:lvl w:ilvl="0" w:tplc="151C3A96">
      <w:numFmt w:val="bullet"/>
      <w:lvlText w:val="-"/>
      <w:lvlJc w:val="left"/>
      <w:pPr>
        <w:tabs>
          <w:tab w:val="num" w:pos="144"/>
        </w:tabs>
        <w:ind w:left="1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64BB392E"/>
    <w:multiLevelType w:val="hybridMultilevel"/>
    <w:tmpl w:val="D40C56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0D"/>
    <w:rsid w:val="000F7B12"/>
    <w:rsid w:val="005F0E6B"/>
    <w:rsid w:val="0084570D"/>
    <w:rsid w:val="00C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E4C7CC-68F8-4CCC-B23E-39B1730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C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457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A6D8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DP6146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6146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/sftpecos/Dossiers_parlementaires/6146/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06C8647-CA7B-4629-B6C3-1CCC524A7A9C}"/>
</file>

<file path=customXml/itemProps2.xml><?xml version="1.0" encoding="utf-8"?>
<ds:datastoreItem xmlns:ds="http://schemas.openxmlformats.org/officeDocument/2006/customXml" ds:itemID="{B030F833-B5D0-48C9-8BC2-D1E09D38D6B3}"/>
</file>

<file path=customXml/itemProps3.xml><?xml version="1.0" encoding="utf-8"?>
<ds:datastoreItem xmlns:ds="http://schemas.openxmlformats.org/officeDocument/2006/customXml" ds:itemID="{82958D13-3EFE-4842-B5A6-E14FDE8E9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