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F2" w:rsidRPr="007C70F2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fr-LU" w:eastAsia="fr-LU"/>
        </w:rPr>
      </w:pPr>
      <w:bookmarkStart w:id="0" w:name="_GoBack"/>
      <w:bookmarkEnd w:id="0"/>
      <w:r w:rsidRPr="007C70F2">
        <w:rPr>
          <w:rFonts w:ascii="Arial" w:hAnsi="Arial" w:cs="Arial"/>
          <w:b/>
          <w:u w:val="single"/>
          <w:lang w:val="fr-LU" w:eastAsia="fr-LU"/>
        </w:rPr>
        <w:t>Résumé 6123</w:t>
      </w:r>
    </w:p>
    <w:p w:rsidR="007C70F2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7C70F2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7C70F2" w:rsidRPr="00812294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812294">
        <w:rPr>
          <w:rFonts w:ascii="Arial" w:hAnsi="Arial" w:cs="Arial"/>
          <w:lang w:val="fr-LU" w:eastAsia="fr-LU"/>
        </w:rPr>
        <w:t>La directive 2009/140/CE du Parlement européen et du Conseil du 25 novembre 2009 modifiant les directives 2002/21/CE relative à un cadre réglementaire commun pour les réseaux et services de communications électroniques, 2002/19/CE relative à l’accès aux réseaux de communications électroniques et aux ressources associées, ainsi qu’à leur interconnexion, et 2002/20/CE relative à l’autorisation des réseaux et services de communications électroniques impose une modification de la loi modifiée du 30 mai 2005 portant: 1) organisation de l’Institut Luxembourgeois de Régulation; 2) modification de la loi modifiée du 22 juin 1963 fixant le régime des traitements des fonctionnaires de l’</w:t>
      </w:r>
      <w:r>
        <w:rPr>
          <w:rFonts w:ascii="Arial" w:hAnsi="Arial" w:cs="Arial"/>
          <w:lang w:val="fr-LU" w:eastAsia="fr-LU"/>
        </w:rPr>
        <w:t>Etat</w:t>
      </w:r>
      <w:r w:rsidRPr="00812294">
        <w:rPr>
          <w:rFonts w:ascii="Arial" w:hAnsi="Arial" w:cs="Arial"/>
          <w:lang w:val="fr-LU" w:eastAsia="fr-LU"/>
        </w:rPr>
        <w:t>.</w:t>
      </w:r>
    </w:p>
    <w:p w:rsidR="00D36CC8" w:rsidRDefault="00D36CC8">
      <w:pPr>
        <w:rPr>
          <w:lang w:val="fr-LU"/>
        </w:rPr>
      </w:pPr>
    </w:p>
    <w:p w:rsidR="007C70F2" w:rsidRPr="00812294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812294">
        <w:rPr>
          <w:rFonts w:ascii="Arial" w:hAnsi="Arial" w:cs="Arial"/>
          <w:lang w:val="fr-LU" w:eastAsia="fr-LU"/>
        </w:rPr>
        <w:t xml:space="preserve">C’est surtout </w:t>
      </w:r>
      <w:r>
        <w:rPr>
          <w:rFonts w:ascii="Arial" w:hAnsi="Arial" w:cs="Arial"/>
          <w:lang w:val="fr-LU" w:eastAsia="fr-LU"/>
        </w:rPr>
        <w:t>le paragraphe 4 de l’article 11</w:t>
      </w:r>
      <w:r w:rsidRPr="00812294">
        <w:rPr>
          <w:rFonts w:ascii="Arial" w:hAnsi="Arial" w:cs="Arial"/>
          <w:lang w:val="fr-LU" w:eastAsia="fr-LU"/>
        </w:rPr>
        <w:t xml:space="preserve"> de la </w:t>
      </w:r>
      <w:r>
        <w:rPr>
          <w:rFonts w:ascii="Arial" w:hAnsi="Arial" w:cs="Arial"/>
          <w:lang w:val="fr-LU" w:eastAsia="fr-LU"/>
        </w:rPr>
        <w:t>loi modifiée du 30 mai 2005</w:t>
      </w:r>
      <w:r w:rsidRPr="00812294">
        <w:rPr>
          <w:rFonts w:ascii="Arial" w:hAnsi="Arial" w:cs="Arial"/>
          <w:lang w:val="fr-LU" w:eastAsia="fr-LU"/>
        </w:rPr>
        <w:t xml:space="preserve"> qui est incompatible avec les nouvelles obligations communautaires concernant l’indépendance des autorités réglementaires nationales reprises à l’article 3 de la directive 2002/21/CE du Parlement européen et du Conseil du 7 mars 2002 relative à un cadre réglementaire commun pour les réseaux et les services de communications électroniques (directive „cadre“) tel que modifié par la directive 2009/14</w:t>
      </w:r>
      <w:r>
        <w:rPr>
          <w:rFonts w:ascii="Arial" w:hAnsi="Arial" w:cs="Arial"/>
          <w:lang w:val="fr-LU" w:eastAsia="fr-LU"/>
        </w:rPr>
        <w:t>0</w:t>
      </w:r>
      <w:r w:rsidRPr="00812294">
        <w:rPr>
          <w:rFonts w:ascii="Arial" w:hAnsi="Arial" w:cs="Arial"/>
          <w:lang w:val="fr-LU" w:eastAsia="fr-LU"/>
        </w:rPr>
        <w:t>/CE.</w:t>
      </w:r>
      <w:r>
        <w:rPr>
          <w:rFonts w:ascii="Arial" w:hAnsi="Arial" w:cs="Arial"/>
          <w:lang w:val="fr-LU" w:eastAsia="fr-LU"/>
        </w:rPr>
        <w:t xml:space="preserve"> Le projet de loi redresse en outre d</w:t>
      </w:r>
      <w:r w:rsidRPr="00812294">
        <w:rPr>
          <w:rFonts w:ascii="Arial" w:hAnsi="Arial" w:cs="Arial"/>
          <w:lang w:val="fr-LU" w:eastAsia="fr-LU"/>
        </w:rPr>
        <w:t>’autres dispositions qui permettraient au Gouvernement d’influencer de manière directe ou indirecte certaines dé</w:t>
      </w:r>
      <w:r>
        <w:rPr>
          <w:rFonts w:ascii="Arial" w:hAnsi="Arial" w:cs="Arial"/>
          <w:lang w:val="fr-LU" w:eastAsia="fr-LU"/>
        </w:rPr>
        <w:t>cisions de l’ILR</w:t>
      </w:r>
      <w:r w:rsidRPr="00812294">
        <w:rPr>
          <w:rFonts w:ascii="Arial" w:hAnsi="Arial" w:cs="Arial"/>
          <w:lang w:val="fr-LU" w:eastAsia="fr-LU"/>
        </w:rPr>
        <w:t>.</w:t>
      </w:r>
    </w:p>
    <w:p w:rsidR="007C70F2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7C70F2" w:rsidRPr="00D73497" w:rsidRDefault="003803F5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>
        <w:rPr>
          <w:rFonts w:ascii="Arial" w:hAnsi="Arial" w:cs="Arial"/>
          <w:lang w:val="fr-LU" w:eastAsia="fr-LU"/>
        </w:rPr>
        <w:t>Actuellement, l</w:t>
      </w:r>
      <w:r w:rsidR="007C70F2" w:rsidRPr="00D73497">
        <w:rPr>
          <w:rFonts w:ascii="Arial" w:hAnsi="Arial" w:cs="Arial"/>
          <w:lang w:val="fr-LU" w:eastAsia="fr-LU"/>
        </w:rPr>
        <w:t>’Institut Luxembourgeois de Régulation est chargé de la régulation des secteurs économiques suivants:</w:t>
      </w:r>
    </w:p>
    <w:p w:rsidR="007C70F2" w:rsidRPr="00D73497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7C70F2" w:rsidRPr="00D73497" w:rsidRDefault="007C70F2" w:rsidP="007C70F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D73497">
        <w:rPr>
          <w:rFonts w:ascii="Arial" w:hAnsi="Arial" w:cs="Arial"/>
          <w:lang w:val="fr-LU" w:eastAsia="fr-LU"/>
        </w:rPr>
        <w:t>Réseaux et services de communications électroniques (télécommunications);</w:t>
      </w:r>
    </w:p>
    <w:p w:rsidR="007C70F2" w:rsidRPr="00D73497" w:rsidRDefault="007C70F2" w:rsidP="007C70F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D73497">
        <w:rPr>
          <w:rFonts w:ascii="Arial" w:hAnsi="Arial" w:cs="Arial"/>
          <w:lang w:val="fr-LU" w:eastAsia="fr-LU"/>
        </w:rPr>
        <w:t>Transport et distribution d’énergie électrique;</w:t>
      </w:r>
    </w:p>
    <w:p w:rsidR="007C70F2" w:rsidRPr="00D73497" w:rsidRDefault="007C70F2" w:rsidP="007C70F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D73497">
        <w:rPr>
          <w:rFonts w:ascii="Arial" w:hAnsi="Arial" w:cs="Arial"/>
          <w:lang w:val="fr-LU" w:eastAsia="fr-LU"/>
        </w:rPr>
        <w:t>Transport et distribution de gaz naturel;</w:t>
      </w:r>
    </w:p>
    <w:p w:rsidR="007C70F2" w:rsidRDefault="007C70F2" w:rsidP="007C70F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D73497">
        <w:rPr>
          <w:rFonts w:ascii="Arial" w:hAnsi="Arial" w:cs="Arial"/>
          <w:lang w:val="fr-LU" w:eastAsia="fr-LU"/>
        </w:rPr>
        <w:t>Services postaux.</w:t>
      </w:r>
    </w:p>
    <w:p w:rsidR="007C70F2" w:rsidRDefault="007C70F2" w:rsidP="007C70F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lang w:val="fr-LU" w:eastAsia="fr-LU"/>
        </w:rPr>
      </w:pPr>
    </w:p>
    <w:p w:rsidR="007C70F2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7C70F2">
        <w:rPr>
          <w:rFonts w:ascii="Arial" w:hAnsi="Arial" w:cs="Arial"/>
          <w:lang w:val="fr-LU" w:eastAsia="fr-LU"/>
        </w:rPr>
        <w:t xml:space="preserve">Enfin, dans le projet de loi </w:t>
      </w:r>
      <w:r w:rsidR="003803F5">
        <w:rPr>
          <w:rFonts w:ascii="Arial" w:hAnsi="Arial" w:cs="Arial"/>
          <w:lang w:val="fr-LU" w:eastAsia="fr-LU"/>
        </w:rPr>
        <w:t xml:space="preserve">6110 </w:t>
      </w:r>
      <w:r w:rsidRPr="007C70F2">
        <w:rPr>
          <w:rFonts w:ascii="Arial" w:hAnsi="Arial" w:cs="Arial"/>
          <w:lang w:val="fr-LU" w:eastAsia="fr-LU"/>
        </w:rPr>
        <w:t xml:space="preserve">concernant la transposition </w:t>
      </w:r>
      <w:r w:rsidR="003803F5">
        <w:rPr>
          <w:rFonts w:ascii="Arial" w:hAnsi="Arial" w:cs="Arial"/>
          <w:lang w:val="fr-LU" w:eastAsia="fr-LU"/>
        </w:rPr>
        <w:t xml:space="preserve">de directives </w:t>
      </w:r>
      <w:r w:rsidRPr="007C70F2">
        <w:rPr>
          <w:rFonts w:ascii="Arial" w:hAnsi="Arial" w:cs="Arial"/>
          <w:lang w:val="fr-LU" w:eastAsia="fr-LU"/>
        </w:rPr>
        <w:t>relative</w:t>
      </w:r>
      <w:r w:rsidR="003803F5">
        <w:rPr>
          <w:rFonts w:ascii="Arial" w:hAnsi="Arial" w:cs="Arial"/>
          <w:lang w:val="fr-LU" w:eastAsia="fr-LU"/>
        </w:rPr>
        <w:t>s</w:t>
      </w:r>
      <w:r w:rsidRPr="007C70F2">
        <w:rPr>
          <w:rFonts w:ascii="Arial" w:hAnsi="Arial" w:cs="Arial"/>
          <w:lang w:val="fr-LU" w:eastAsia="fr-LU"/>
        </w:rPr>
        <w:t xml:space="preserve"> au développement de chemins de fer communautaires </w:t>
      </w:r>
      <w:r w:rsidR="003803F5">
        <w:rPr>
          <w:rFonts w:ascii="Arial" w:hAnsi="Arial" w:cs="Arial"/>
          <w:lang w:val="fr-LU" w:eastAsia="fr-LU"/>
        </w:rPr>
        <w:t>et à la</w:t>
      </w:r>
      <w:r w:rsidRPr="007C70F2">
        <w:rPr>
          <w:rFonts w:ascii="Arial" w:hAnsi="Arial" w:cs="Arial"/>
          <w:lang w:val="fr-LU" w:eastAsia="fr-LU"/>
        </w:rPr>
        <w:t xml:space="preserve"> répartition des capacités d’infrastructure ferroviaire et la tarification de l’infrastructure ferroviaire</w:t>
      </w:r>
      <w:r w:rsidRPr="007C70F2">
        <w:rPr>
          <w:rFonts w:ascii="Arial" w:hAnsi="Arial" w:cs="Arial"/>
          <w:lang w:val="fr-CH" w:eastAsia="fr-LU"/>
        </w:rPr>
        <w:t>,</w:t>
      </w:r>
      <w:r w:rsidRPr="007C70F2">
        <w:rPr>
          <w:rFonts w:ascii="Arial" w:hAnsi="Arial" w:cs="Arial"/>
          <w:lang w:val="fr-LU" w:eastAsia="fr-LU"/>
        </w:rPr>
        <w:t xml:space="preserve"> le Ministre compétent envisage la désignation de l’Institut comme organisme de contrôle du marché ferroviaire.</w:t>
      </w:r>
    </w:p>
    <w:p w:rsidR="007C70F2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7C70F2" w:rsidRPr="007C70F2" w:rsidRDefault="007C70F2" w:rsidP="007C70F2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7C70F2">
        <w:rPr>
          <w:rFonts w:ascii="Arial" w:hAnsi="Arial" w:cs="Arial"/>
          <w:lang w:val="fr-LU" w:eastAsia="fr-LU"/>
        </w:rPr>
        <w:t>Eu égard à ces élargissements de compétences</w:t>
      </w:r>
      <w:r w:rsidR="003803F5">
        <w:rPr>
          <w:rFonts w:ascii="Arial" w:hAnsi="Arial" w:cs="Arial"/>
          <w:lang w:val="fr-LU" w:eastAsia="fr-LU"/>
        </w:rPr>
        <w:t>, le projet de loi prépare l’ILR à de nouvelles missions en ouvrant</w:t>
      </w:r>
      <w:r w:rsidRPr="007C70F2">
        <w:rPr>
          <w:rFonts w:ascii="Arial" w:hAnsi="Arial" w:cs="Arial"/>
          <w:lang w:val="fr-LU" w:eastAsia="fr-LU"/>
        </w:rPr>
        <w:t xml:space="preserve"> la pos</w:t>
      </w:r>
      <w:r w:rsidR="00AC251E">
        <w:rPr>
          <w:rFonts w:ascii="Arial" w:hAnsi="Arial" w:cs="Arial"/>
          <w:lang w:val="fr-LU" w:eastAsia="fr-LU"/>
        </w:rPr>
        <w:t>sibilité d’une extension</w:t>
      </w:r>
      <w:r w:rsidR="003803F5">
        <w:rPr>
          <w:rFonts w:ascii="Arial" w:hAnsi="Arial" w:cs="Arial"/>
          <w:lang w:val="fr-LU" w:eastAsia="fr-LU"/>
        </w:rPr>
        <w:t xml:space="preserve"> de s</w:t>
      </w:r>
      <w:r w:rsidRPr="007C70F2">
        <w:rPr>
          <w:rFonts w:ascii="Arial" w:hAnsi="Arial" w:cs="Arial"/>
          <w:lang w:val="fr-LU" w:eastAsia="fr-LU"/>
        </w:rPr>
        <w:t xml:space="preserve">a direction à un maximum de cinq membres. </w:t>
      </w:r>
    </w:p>
    <w:p w:rsidR="007C70F2" w:rsidRPr="007C70F2" w:rsidRDefault="007C70F2">
      <w:pPr>
        <w:rPr>
          <w:lang w:val="fr-LU"/>
        </w:rPr>
      </w:pPr>
    </w:p>
    <w:sectPr w:rsidR="007C70F2" w:rsidRPr="007C70F2" w:rsidSect="00D3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FDC"/>
    <w:multiLevelType w:val="hybridMultilevel"/>
    <w:tmpl w:val="0598FA3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E12D8"/>
    <w:multiLevelType w:val="hybridMultilevel"/>
    <w:tmpl w:val="9410C8B6"/>
    <w:lvl w:ilvl="0" w:tplc="FE64C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0F2"/>
    <w:rsid w:val="00225434"/>
    <w:rsid w:val="003803F5"/>
    <w:rsid w:val="007C70F2"/>
    <w:rsid w:val="008D0B9B"/>
    <w:rsid w:val="00AC251E"/>
    <w:rsid w:val="00D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742556-34DC-4657-B561-2C2639F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F2"/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DP6123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6123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/sftpecos/Dossiers_parlementaires/6123/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21ECFB9-3EE8-4B12-91CA-4CEF54C649DE}"/>
</file>

<file path=customXml/itemProps2.xml><?xml version="1.0" encoding="utf-8"?>
<ds:datastoreItem xmlns:ds="http://schemas.openxmlformats.org/officeDocument/2006/customXml" ds:itemID="{0AC94440-F0AB-4CF5-B9DE-13A9DD7208CD}"/>
</file>

<file path=customXml/itemProps3.xml><?xml version="1.0" encoding="utf-8"?>
<ds:datastoreItem xmlns:ds="http://schemas.openxmlformats.org/officeDocument/2006/customXml" ds:itemID="{F2670B0F-44A4-4A6D-8EA8-FC7BFBF18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Anne Tescher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