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CF" w:rsidRPr="00B97BD3" w:rsidRDefault="004844CF" w:rsidP="0035489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lang w:val="fr-LU" w:eastAsia="fr-LU"/>
        </w:rPr>
      </w:pPr>
      <w:bookmarkStart w:id="0" w:name="_GoBack"/>
      <w:bookmarkEnd w:id="0"/>
      <w:r w:rsidRPr="00B97BD3">
        <w:rPr>
          <w:rFonts w:ascii="Arial" w:hAnsi="Arial" w:cs="Arial"/>
          <w:b/>
          <w:bCs/>
        </w:rPr>
        <w:t>N</w:t>
      </w:r>
      <w:r w:rsidRPr="00B97BD3">
        <w:rPr>
          <w:rFonts w:ascii="Arial" w:hAnsi="Arial" w:cs="Arial"/>
          <w:b/>
          <w:bCs/>
          <w:vertAlign w:val="superscript"/>
        </w:rPr>
        <w:t>o</w:t>
      </w:r>
      <w:r w:rsidRPr="00B97BD3">
        <w:rPr>
          <w:rFonts w:ascii="Arial" w:hAnsi="Arial" w:cs="Arial"/>
          <w:b/>
          <w:bCs/>
        </w:rPr>
        <w:t xml:space="preserve"> 6107 : projet de loi m</w:t>
      </w:r>
      <w:r w:rsidRPr="00B97BD3">
        <w:rPr>
          <w:rFonts w:ascii="Arial" w:hAnsi="Arial" w:cs="Arial"/>
          <w:b/>
          <w:bCs/>
          <w:lang w:val="fr-LU" w:eastAsia="fr-LU"/>
        </w:rPr>
        <w:t>odifiant la loi modifiée du 10 mai 1995</w:t>
      </w:r>
      <w:r w:rsidR="00B97BD3">
        <w:rPr>
          <w:rFonts w:ascii="Arial" w:hAnsi="Arial" w:cs="Arial"/>
          <w:b/>
          <w:bCs/>
          <w:lang w:val="fr-LU" w:eastAsia="fr-LU"/>
        </w:rPr>
        <w:t xml:space="preserve"> </w:t>
      </w:r>
      <w:r w:rsidRPr="00B97BD3">
        <w:rPr>
          <w:rFonts w:ascii="Arial" w:hAnsi="Arial" w:cs="Arial"/>
          <w:b/>
          <w:bCs/>
          <w:lang w:val="fr-LU" w:eastAsia="fr-LU"/>
        </w:rPr>
        <w:t>relative à la gestion de l’infrastructure ferroviaire : RESUME</w:t>
      </w:r>
    </w:p>
    <w:p w:rsidR="004844CF" w:rsidRPr="00B97BD3" w:rsidRDefault="004844CF" w:rsidP="003548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E04BB" w:rsidRDefault="004844CF" w:rsidP="00354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7BD3">
        <w:rPr>
          <w:rFonts w:ascii="Arial" w:hAnsi="Arial" w:cs="Arial"/>
        </w:rPr>
        <w:t xml:space="preserve">Le projet de loi </w:t>
      </w:r>
      <w:r w:rsidR="00347BBB">
        <w:rPr>
          <w:rFonts w:ascii="Arial" w:hAnsi="Arial" w:cs="Arial"/>
        </w:rPr>
        <w:t>6107</w:t>
      </w:r>
      <w:r w:rsidRPr="00B97BD3">
        <w:rPr>
          <w:rFonts w:ascii="Arial" w:hAnsi="Arial" w:cs="Arial"/>
        </w:rPr>
        <w:t xml:space="preserve"> a pour objet l’approbation d’une augmentation de crédit pour</w:t>
      </w:r>
      <w:r w:rsidR="009709E5" w:rsidRPr="009709E5">
        <w:rPr>
          <w:rFonts w:ascii="Arial" w:hAnsi="Arial" w:cs="Arial"/>
        </w:rPr>
        <w:t xml:space="preserve"> </w:t>
      </w:r>
      <w:r w:rsidR="009709E5" w:rsidRPr="00B97BD3">
        <w:rPr>
          <w:rFonts w:ascii="Arial" w:hAnsi="Arial" w:cs="Arial"/>
        </w:rPr>
        <w:t>l’installation</w:t>
      </w:r>
      <w:r w:rsidR="009709E5">
        <w:rPr>
          <w:rFonts w:ascii="Arial" w:hAnsi="Arial" w:cs="Arial"/>
        </w:rPr>
        <w:t xml:space="preserve"> sur l’ensemble</w:t>
      </w:r>
      <w:r w:rsidR="009709E5" w:rsidRPr="009709E5">
        <w:rPr>
          <w:rFonts w:ascii="Arial" w:hAnsi="Arial" w:cs="Arial"/>
        </w:rPr>
        <w:t xml:space="preserve"> du réseau ferré luxembourgeois</w:t>
      </w:r>
      <w:r w:rsidR="00DE04BB">
        <w:rPr>
          <w:rFonts w:ascii="Arial" w:hAnsi="Arial" w:cs="Arial"/>
        </w:rPr>
        <w:t> :</w:t>
      </w:r>
    </w:p>
    <w:p w:rsidR="009709E5" w:rsidRDefault="004844CF" w:rsidP="009709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B97BD3">
        <w:rPr>
          <w:rFonts w:ascii="Arial" w:hAnsi="Arial" w:cs="Arial"/>
        </w:rPr>
        <w:t>d’un dispositif</w:t>
      </w:r>
      <w:r w:rsidR="009709E5">
        <w:rPr>
          <w:rFonts w:ascii="Arial" w:hAnsi="Arial" w:cs="Arial"/>
        </w:rPr>
        <w:t xml:space="preserve"> d’arrêt automatique des trains.</w:t>
      </w:r>
      <w:r w:rsidR="009709E5" w:rsidRPr="009709E5">
        <w:rPr>
          <w:rFonts w:ascii="Arial" w:hAnsi="Arial" w:cs="Arial"/>
          <w:lang w:val="fr-LU" w:eastAsia="fr-LU"/>
        </w:rPr>
        <w:t xml:space="preserve"> </w:t>
      </w:r>
      <w:r w:rsidR="009709E5" w:rsidRPr="00B97BD3">
        <w:rPr>
          <w:rFonts w:ascii="Arial" w:hAnsi="Arial" w:cs="Arial"/>
          <w:lang w:val="fr-LU" w:eastAsia="fr-LU"/>
        </w:rPr>
        <w:t>Afin de renforcer la sécurité des circulations ferroviaires, il a été prévu d’aménager un dispositif d’arrêt automatique susceptible de commander l’arrêt aux trains. Il a été décidé d’introduire en phase transitoire le système d’aide à la conduite MEMOR II+.</w:t>
      </w:r>
      <w:r w:rsidR="009709E5">
        <w:rPr>
          <w:rFonts w:ascii="Arial" w:hAnsi="Arial" w:cs="Arial"/>
          <w:lang w:val="fr-LU" w:eastAsia="fr-LU"/>
        </w:rPr>
        <w:t xml:space="preserve"> </w:t>
      </w:r>
      <w:r w:rsidR="0070737C">
        <w:rPr>
          <w:rFonts w:ascii="Arial" w:hAnsi="Arial" w:cs="Arial"/>
          <w:lang w:val="fr-LU" w:eastAsia="fr-LU"/>
        </w:rPr>
        <w:t>L</w:t>
      </w:r>
      <w:r w:rsidR="009709E5" w:rsidRPr="00270579">
        <w:rPr>
          <w:rFonts w:ascii="Arial" w:hAnsi="Arial" w:cs="Arial"/>
          <w:lang w:val="fr-LU" w:eastAsia="fr-LU"/>
        </w:rPr>
        <w:t>’implémentation de ce système sur l’ensemble du réseau ferré luxembourgeois a été achevée en 2004</w:t>
      </w:r>
      <w:r w:rsidR="0070737C">
        <w:rPr>
          <w:rFonts w:ascii="Arial" w:hAnsi="Arial" w:cs="Arial"/>
          <w:lang w:val="fr-LU" w:eastAsia="fr-LU"/>
        </w:rPr>
        <w:t> ;</w:t>
      </w:r>
    </w:p>
    <w:p w:rsidR="009709E5" w:rsidRPr="0029337E" w:rsidRDefault="00DE04BB" w:rsidP="0029337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09E5">
        <w:rPr>
          <w:rFonts w:ascii="Arial" w:hAnsi="Arial" w:cs="Arial"/>
        </w:rPr>
        <w:t>d’</w:t>
      </w:r>
      <w:r w:rsidR="004844CF" w:rsidRPr="009709E5">
        <w:rPr>
          <w:rFonts w:ascii="Arial" w:hAnsi="Arial" w:cs="Arial"/>
        </w:rPr>
        <w:t>un système de contrôle de vitesse</w:t>
      </w:r>
      <w:r w:rsidR="0070737C">
        <w:rPr>
          <w:rFonts w:ascii="Arial" w:hAnsi="Arial" w:cs="Arial"/>
        </w:rPr>
        <w:t>.</w:t>
      </w:r>
      <w:r w:rsidR="004844CF" w:rsidRPr="009709E5">
        <w:rPr>
          <w:rFonts w:ascii="Arial" w:hAnsi="Arial" w:cs="Arial"/>
        </w:rPr>
        <w:t xml:space="preserve"> </w:t>
      </w:r>
      <w:r w:rsidR="009709E5" w:rsidRPr="009709E5">
        <w:rPr>
          <w:rFonts w:ascii="Arial" w:hAnsi="Arial" w:cs="Arial"/>
          <w:lang w:val="fr-LU" w:eastAsia="fr-LU"/>
        </w:rPr>
        <w:t xml:space="preserve">La deuxième phase du projet consiste dans l’implémentation du système de contrôle de vitesse européen ERTMS/ETCS niveau 1 sur l’ensemble du réseau ferré luxembourgeois. Ce système correspond le mieux aux exigences du réseau luxembourgeois, qui se trouve confronté à plusieurs autres systèmes utilisés par les réseaux ferroviaires limitrophes. Le système permet de contrôler en permanence la vitesse du train à partir des informations fournies par la signalisation latérale. Dans le cas d’un freinage incorrect à l’approche d’un signal à l’arrêt, le système prend en charge le train de façon automatique et garantit l’arrêt en amont du signal. </w:t>
      </w:r>
      <w:r w:rsidR="0029337E" w:rsidRPr="009709E5">
        <w:rPr>
          <w:rFonts w:ascii="Arial" w:hAnsi="Arial" w:cs="Arial"/>
          <w:lang w:val="fr-LU" w:eastAsia="fr-LU"/>
        </w:rPr>
        <w:t xml:space="preserve">La mise en service de la ligne pilote a eu lieu le 1er mars 2005. </w:t>
      </w:r>
      <w:r w:rsidR="0070737C">
        <w:rPr>
          <w:rFonts w:ascii="Arial" w:hAnsi="Arial" w:cs="Arial"/>
          <w:lang w:val="fr-LU" w:eastAsia="fr-LU"/>
        </w:rPr>
        <w:t>A</w:t>
      </w:r>
      <w:r w:rsidR="0029337E" w:rsidRPr="009709E5">
        <w:rPr>
          <w:rFonts w:ascii="Arial" w:hAnsi="Arial" w:cs="Arial"/>
          <w:lang w:val="fr-LU" w:eastAsia="fr-LU"/>
        </w:rPr>
        <w:t xml:space="preserve"> l’heure actuelle</w:t>
      </w:r>
      <w:r w:rsidR="0070737C">
        <w:rPr>
          <w:rFonts w:ascii="Arial" w:hAnsi="Arial" w:cs="Arial"/>
          <w:lang w:val="fr-LU" w:eastAsia="fr-LU"/>
        </w:rPr>
        <w:t>,</w:t>
      </w:r>
      <w:r w:rsidR="0029337E" w:rsidRPr="009709E5">
        <w:rPr>
          <w:rFonts w:ascii="Arial" w:hAnsi="Arial" w:cs="Arial"/>
          <w:lang w:val="fr-LU" w:eastAsia="fr-LU"/>
        </w:rPr>
        <w:t xml:space="preserve"> quelque 60 % du réseau ferré </w:t>
      </w:r>
      <w:r w:rsidR="0070737C">
        <w:rPr>
          <w:rFonts w:ascii="Arial" w:hAnsi="Arial" w:cs="Arial"/>
          <w:lang w:val="fr-LU" w:eastAsia="fr-LU"/>
        </w:rPr>
        <w:t>luxembourgeois est équipé et l</w:t>
      </w:r>
      <w:r w:rsidR="0029337E" w:rsidRPr="009709E5">
        <w:rPr>
          <w:rFonts w:ascii="Arial" w:hAnsi="Arial" w:cs="Arial"/>
          <w:lang w:val="fr-LU" w:eastAsia="fr-LU"/>
        </w:rPr>
        <w:t>’achèvement des travaux est prévu pour fin 2011.</w:t>
      </w:r>
    </w:p>
    <w:p w:rsidR="00DE04BB" w:rsidRPr="009709E5" w:rsidRDefault="00270579" w:rsidP="009709E5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9709E5">
        <w:rPr>
          <w:rFonts w:ascii="Arial" w:hAnsi="Arial" w:cs="Arial"/>
        </w:rPr>
        <w:t xml:space="preserve"> </w:t>
      </w:r>
    </w:p>
    <w:p w:rsidR="00DE04BB" w:rsidRPr="000D521E" w:rsidRDefault="00347BBB" w:rsidP="00354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cette fin, </w:t>
      </w:r>
      <w:r w:rsidR="004844CF" w:rsidRPr="00B97BD3">
        <w:rPr>
          <w:rFonts w:ascii="Arial" w:hAnsi="Arial" w:cs="Arial"/>
        </w:rPr>
        <w:t>il est proposé de compléter le deuxième et le troisième alinéa</w:t>
      </w:r>
      <w:r>
        <w:rPr>
          <w:rFonts w:ascii="Arial" w:hAnsi="Arial" w:cs="Arial"/>
        </w:rPr>
        <w:t>s du paragraphe 3</w:t>
      </w:r>
      <w:r w:rsidR="004844CF" w:rsidRPr="00B97BD3">
        <w:rPr>
          <w:rFonts w:ascii="Arial" w:hAnsi="Arial" w:cs="Arial"/>
        </w:rPr>
        <w:t xml:space="preserve"> de l’article 10 de la loi modifiée du 10 mai 1995 relative à la gestion de l’infrastructure ferroviaire.</w:t>
      </w:r>
      <w:r w:rsidR="00DE04BB">
        <w:rPr>
          <w:rFonts w:ascii="Arial" w:hAnsi="Arial" w:cs="Arial"/>
        </w:rPr>
        <w:t xml:space="preserve"> </w:t>
      </w:r>
      <w:r w:rsidR="0070737C">
        <w:rPr>
          <w:rFonts w:ascii="Arial" w:hAnsi="Arial" w:cs="Arial"/>
        </w:rPr>
        <w:t xml:space="preserve">Cette </w:t>
      </w:r>
      <w:r w:rsidR="004844CF" w:rsidRPr="00DE04BB">
        <w:rPr>
          <w:rFonts w:ascii="Arial" w:hAnsi="Arial" w:cs="Arial"/>
        </w:rPr>
        <w:t>loi règle la police et la gestion du réseau ferré national tout en confiant la gestion</w:t>
      </w:r>
      <w:r w:rsidR="00DE04BB" w:rsidRPr="00DE04BB">
        <w:rPr>
          <w:rFonts w:ascii="Arial" w:hAnsi="Arial" w:cs="Arial"/>
        </w:rPr>
        <w:t xml:space="preserve"> technique de ce réseau aux CFL</w:t>
      </w:r>
      <w:r w:rsidR="004844CF" w:rsidRPr="00DE04BB">
        <w:rPr>
          <w:rFonts w:ascii="Arial" w:hAnsi="Arial" w:cs="Arial"/>
        </w:rPr>
        <w:t>.</w:t>
      </w:r>
      <w:r w:rsidRPr="00DE04BB">
        <w:rPr>
          <w:rFonts w:ascii="Arial" w:hAnsi="Arial" w:cs="Arial"/>
        </w:rPr>
        <w:t xml:space="preserve"> </w:t>
      </w:r>
      <w:r w:rsidR="004844CF" w:rsidRPr="00DE04BB">
        <w:rPr>
          <w:rFonts w:ascii="Arial" w:hAnsi="Arial" w:cs="Arial"/>
        </w:rPr>
        <w:t>Depuis l’entrée en vigueur de la loi du 24 juillet 2000</w:t>
      </w:r>
      <w:r w:rsidR="00DE04BB" w:rsidRPr="00DE04BB">
        <w:rPr>
          <w:rFonts w:ascii="Arial" w:hAnsi="Arial" w:cs="Arial"/>
        </w:rPr>
        <w:t>,</w:t>
      </w:r>
      <w:r w:rsidR="004844CF" w:rsidRPr="00DE04BB">
        <w:rPr>
          <w:rFonts w:ascii="Arial" w:hAnsi="Arial" w:cs="Arial"/>
        </w:rPr>
        <w:t xml:space="preserve"> qui a autorisé une première série de 14 projets d’infrastructure ferroviaire de grande envergure, l’article 10 de la loi modifiée du 10 mai 1995 </w:t>
      </w:r>
      <w:r w:rsidR="00DE04BB" w:rsidRPr="00DE04BB">
        <w:rPr>
          <w:rFonts w:ascii="Arial" w:hAnsi="Arial" w:cs="Arial"/>
        </w:rPr>
        <w:t>qui</w:t>
      </w:r>
      <w:r w:rsidR="004844CF" w:rsidRPr="00DE04BB">
        <w:rPr>
          <w:rFonts w:ascii="Arial" w:hAnsi="Arial" w:cs="Arial"/>
        </w:rPr>
        <w:t xml:space="preserve"> c</w:t>
      </w:r>
      <w:r w:rsidR="00DE04BB" w:rsidRPr="00DE04BB">
        <w:rPr>
          <w:rFonts w:ascii="Arial" w:hAnsi="Arial" w:cs="Arial"/>
        </w:rPr>
        <w:t>omporte le relevé des projets,</w:t>
      </w:r>
      <w:r w:rsidR="004844CF" w:rsidRPr="00DE04BB">
        <w:rPr>
          <w:rFonts w:ascii="Arial" w:hAnsi="Arial" w:cs="Arial"/>
        </w:rPr>
        <w:t xml:space="preserve"> est régulièrement mis à jour au rythme de la réalisation du programme d’investissement arrêté par le Gouvernement en matière de maintenance, de sécurisation et d’extension de </w:t>
      </w:r>
      <w:r w:rsidR="004844CF" w:rsidRPr="000D521E">
        <w:rPr>
          <w:rFonts w:ascii="Arial" w:hAnsi="Arial" w:cs="Arial"/>
        </w:rPr>
        <w:t>l’infrastructure ferroviaire.</w:t>
      </w:r>
      <w:r w:rsidRPr="000D521E">
        <w:rPr>
          <w:rFonts w:ascii="Arial" w:hAnsi="Arial" w:cs="Arial"/>
        </w:rPr>
        <w:t xml:space="preserve"> Plusieurs m</w:t>
      </w:r>
      <w:r w:rsidR="004844CF" w:rsidRPr="000D521E">
        <w:rPr>
          <w:rFonts w:ascii="Arial" w:hAnsi="Arial" w:cs="Arial"/>
        </w:rPr>
        <w:t>ise</w:t>
      </w:r>
      <w:r w:rsidRPr="000D521E">
        <w:rPr>
          <w:rFonts w:ascii="Arial" w:hAnsi="Arial" w:cs="Arial"/>
        </w:rPr>
        <w:t>s</w:t>
      </w:r>
      <w:r w:rsidR="004844CF" w:rsidRPr="000D521E">
        <w:rPr>
          <w:rFonts w:ascii="Arial" w:hAnsi="Arial" w:cs="Arial"/>
        </w:rPr>
        <w:t xml:space="preserve"> à jour du relevé </w:t>
      </w:r>
      <w:r w:rsidRPr="000D521E">
        <w:rPr>
          <w:rFonts w:ascii="Arial" w:hAnsi="Arial" w:cs="Arial"/>
        </w:rPr>
        <w:t>ont été effectuées (</w:t>
      </w:r>
      <w:r w:rsidR="004844CF" w:rsidRPr="000D521E">
        <w:rPr>
          <w:rFonts w:ascii="Arial" w:hAnsi="Arial" w:cs="Arial"/>
        </w:rPr>
        <w:t xml:space="preserve">loi du 3 juin </w:t>
      </w:r>
      <w:r w:rsidR="00DE04BB" w:rsidRPr="000D521E">
        <w:rPr>
          <w:rFonts w:ascii="Arial" w:hAnsi="Arial" w:cs="Arial"/>
        </w:rPr>
        <w:t>2003,</w:t>
      </w:r>
      <w:r w:rsidR="004844CF" w:rsidRPr="000D521E">
        <w:rPr>
          <w:rFonts w:ascii="Arial" w:hAnsi="Arial" w:cs="Arial"/>
        </w:rPr>
        <w:t xml:space="preserve"> loi du 18 décembre </w:t>
      </w:r>
      <w:r w:rsidR="00DE04BB" w:rsidRPr="000D521E">
        <w:rPr>
          <w:rFonts w:ascii="Arial" w:hAnsi="Arial" w:cs="Arial"/>
        </w:rPr>
        <w:t>2003,</w:t>
      </w:r>
      <w:r w:rsidRPr="000D521E">
        <w:rPr>
          <w:rFonts w:ascii="Arial" w:hAnsi="Arial" w:cs="Arial"/>
        </w:rPr>
        <w:t xml:space="preserve"> </w:t>
      </w:r>
      <w:r w:rsidR="004844CF" w:rsidRPr="000D521E">
        <w:rPr>
          <w:rFonts w:ascii="Arial" w:hAnsi="Arial" w:cs="Arial"/>
        </w:rPr>
        <w:t>loi du 18 avril 2004</w:t>
      </w:r>
      <w:r w:rsidR="00DE04BB" w:rsidRPr="000D521E">
        <w:rPr>
          <w:rFonts w:ascii="Arial" w:hAnsi="Arial" w:cs="Arial"/>
        </w:rPr>
        <w:t>,</w:t>
      </w:r>
      <w:r w:rsidR="004844CF" w:rsidRPr="000D521E">
        <w:rPr>
          <w:rFonts w:ascii="Arial" w:hAnsi="Arial" w:cs="Arial"/>
        </w:rPr>
        <w:t xml:space="preserve"> loi du 6 juin 2009</w:t>
      </w:r>
      <w:r w:rsidRPr="000D521E">
        <w:rPr>
          <w:rFonts w:ascii="Arial" w:hAnsi="Arial" w:cs="Arial"/>
        </w:rPr>
        <w:t>)</w:t>
      </w:r>
      <w:r w:rsidR="00DE04BB" w:rsidRPr="000D521E">
        <w:rPr>
          <w:rFonts w:ascii="Arial" w:hAnsi="Arial" w:cs="Arial"/>
        </w:rPr>
        <w:t>.</w:t>
      </w:r>
      <w:r w:rsidR="009709E5" w:rsidRPr="000D521E">
        <w:rPr>
          <w:rFonts w:ascii="Arial" w:hAnsi="Arial" w:cs="Arial"/>
          <w:lang w:val="fr-LU" w:eastAsia="fr-LU"/>
        </w:rPr>
        <w:t xml:space="preserve"> </w:t>
      </w:r>
    </w:p>
    <w:p w:rsidR="0029337E" w:rsidRPr="000D521E" w:rsidRDefault="0029337E" w:rsidP="00354891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</w:p>
    <w:p w:rsidR="004844CF" w:rsidRPr="000D521E" w:rsidRDefault="004844CF" w:rsidP="00354891">
      <w:pPr>
        <w:autoSpaceDE w:val="0"/>
        <w:autoSpaceDN w:val="0"/>
        <w:adjustRightInd w:val="0"/>
        <w:jc w:val="both"/>
        <w:rPr>
          <w:rFonts w:ascii="Arial" w:hAnsi="Arial" w:cs="Arial"/>
          <w:lang w:val="fr-LU" w:eastAsia="fr-LU"/>
        </w:rPr>
      </w:pPr>
      <w:r w:rsidRPr="000D521E">
        <w:rPr>
          <w:rFonts w:ascii="Arial" w:hAnsi="Arial" w:cs="Arial"/>
          <w:lang w:val="fr-LU" w:eastAsia="fr-LU"/>
        </w:rPr>
        <w:t>Le projet tel qu’il a été approuvé par la loi du 3 juin 2003 a dû être réévalué d’un point de vue technique et financier pour diverses raisons, avec certains volets du projet menant à une diminution des investissements et d’autres engendrant une augmentation des investissements.</w:t>
      </w:r>
      <w:r w:rsidR="000D521E" w:rsidRPr="000D521E">
        <w:rPr>
          <w:rFonts w:ascii="Arial" w:hAnsi="Arial" w:cs="Arial"/>
          <w:lang w:val="fr-LU" w:eastAsia="fr-LU"/>
        </w:rPr>
        <w:t xml:space="preserve"> </w:t>
      </w:r>
      <w:r w:rsidR="00C1125D">
        <w:rPr>
          <w:rFonts w:ascii="Arial" w:hAnsi="Arial" w:cs="Arial"/>
          <w:lang w:val="fr-LU" w:eastAsia="fr-LU"/>
        </w:rPr>
        <w:t>C</w:t>
      </w:r>
      <w:r w:rsidRPr="000D521E">
        <w:rPr>
          <w:rFonts w:ascii="Arial" w:hAnsi="Arial" w:cs="Arial"/>
          <w:lang w:val="fr-LU" w:eastAsia="fr-LU"/>
        </w:rPr>
        <w:t>ette actualisation de l’ensemble des éléments fait ressortir une hausse du coût final avancé</w:t>
      </w:r>
      <w:r w:rsidR="00C1125D">
        <w:rPr>
          <w:rFonts w:ascii="Arial" w:hAnsi="Arial" w:cs="Arial"/>
          <w:lang w:val="fr-LU" w:eastAsia="fr-LU"/>
        </w:rPr>
        <w:t>,</w:t>
      </w:r>
      <w:r w:rsidRPr="000D521E">
        <w:rPr>
          <w:rFonts w:ascii="Arial" w:hAnsi="Arial" w:cs="Arial"/>
          <w:lang w:val="fr-LU" w:eastAsia="fr-LU"/>
        </w:rPr>
        <w:t xml:space="preserve"> de sorte que les crédits approuvés s’avèrent insuffisants. La hausse du coût final est n</w:t>
      </w:r>
      <w:r w:rsidR="00C1125D">
        <w:rPr>
          <w:rFonts w:ascii="Arial" w:hAnsi="Arial" w:cs="Arial"/>
          <w:lang w:val="fr-LU" w:eastAsia="fr-LU"/>
        </w:rPr>
        <w:t>otamment due aux faits suivants :</w:t>
      </w:r>
    </w:p>
    <w:p w:rsidR="004844CF" w:rsidRPr="000D521E" w:rsidRDefault="00C1125D" w:rsidP="000D521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val="fr-LU" w:eastAsia="fr-LU"/>
        </w:rPr>
      </w:pPr>
      <w:r>
        <w:rPr>
          <w:rFonts w:ascii="Arial" w:hAnsi="Arial" w:cs="Arial"/>
          <w:bCs/>
          <w:iCs/>
          <w:lang w:val="fr-LU" w:eastAsia="fr-LU"/>
        </w:rPr>
        <w:t>a</w:t>
      </w:r>
      <w:r w:rsidR="004844CF" w:rsidRPr="000D521E">
        <w:rPr>
          <w:rFonts w:ascii="Arial" w:hAnsi="Arial" w:cs="Arial"/>
          <w:bCs/>
          <w:iCs/>
          <w:lang w:val="fr-LU" w:eastAsia="fr-LU"/>
        </w:rPr>
        <w:t>ugmentation du nombre de signaux à équiper</w:t>
      </w:r>
      <w:r>
        <w:rPr>
          <w:rFonts w:ascii="Arial" w:hAnsi="Arial" w:cs="Arial"/>
          <w:bCs/>
          <w:iCs/>
          <w:lang w:val="fr-LU" w:eastAsia="fr-LU"/>
        </w:rPr>
        <w:t>,</w:t>
      </w:r>
    </w:p>
    <w:p w:rsidR="004844CF" w:rsidRPr="000D521E" w:rsidRDefault="00C1125D" w:rsidP="000D521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val="fr-LU" w:eastAsia="fr-LU"/>
        </w:rPr>
      </w:pPr>
      <w:r>
        <w:rPr>
          <w:rFonts w:ascii="Arial" w:hAnsi="Arial" w:cs="Arial"/>
          <w:bCs/>
          <w:iCs/>
          <w:lang w:val="fr-LU" w:eastAsia="fr-LU"/>
        </w:rPr>
        <w:t>a</w:t>
      </w:r>
      <w:r w:rsidR="004844CF" w:rsidRPr="000D521E">
        <w:rPr>
          <w:rFonts w:ascii="Arial" w:hAnsi="Arial" w:cs="Arial"/>
          <w:bCs/>
          <w:iCs/>
          <w:lang w:val="fr-LU" w:eastAsia="fr-LU"/>
        </w:rPr>
        <w:t>daptation, modification et renforcement de l’alimentation des postes de signalisation et certification d’interopérabilité du système</w:t>
      </w:r>
      <w:r>
        <w:rPr>
          <w:rFonts w:ascii="Arial" w:hAnsi="Arial" w:cs="Arial"/>
          <w:bCs/>
          <w:iCs/>
          <w:lang w:val="fr-LU" w:eastAsia="fr-LU"/>
        </w:rPr>
        <w:t>,</w:t>
      </w:r>
    </w:p>
    <w:p w:rsidR="004844CF" w:rsidRPr="000D521E" w:rsidRDefault="00C1125D" w:rsidP="000D521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val="fr-LU" w:eastAsia="fr-LU"/>
        </w:rPr>
      </w:pPr>
      <w:r>
        <w:rPr>
          <w:rFonts w:ascii="Arial" w:hAnsi="Arial" w:cs="Arial"/>
          <w:bCs/>
          <w:iCs/>
          <w:lang w:val="fr-LU" w:eastAsia="fr-LU"/>
        </w:rPr>
        <w:t>é</w:t>
      </w:r>
      <w:r w:rsidR="004844CF" w:rsidRPr="000D521E">
        <w:rPr>
          <w:rFonts w:ascii="Arial" w:hAnsi="Arial" w:cs="Arial"/>
          <w:bCs/>
          <w:iCs/>
          <w:lang w:val="fr-LU" w:eastAsia="fr-LU"/>
        </w:rPr>
        <w:t>quipement matériel roulant avec ETCS</w:t>
      </w:r>
      <w:r>
        <w:rPr>
          <w:rFonts w:ascii="Arial" w:hAnsi="Arial" w:cs="Arial"/>
          <w:bCs/>
          <w:iCs/>
          <w:lang w:val="fr-LU" w:eastAsia="fr-LU"/>
        </w:rPr>
        <w:t>.</w:t>
      </w:r>
    </w:p>
    <w:sectPr w:rsidR="004844CF" w:rsidRPr="000D521E" w:rsidSect="00543035">
      <w:footerReference w:type="even" r:id="rId8"/>
      <w:footerReference w:type="default" r:id="rId9"/>
      <w:pgSz w:w="11906" w:h="16838" w:code="9"/>
      <w:pgMar w:top="1134" w:right="1701" w:bottom="1418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50" w:rsidRDefault="002F3B50" w:rsidP="004844CF">
      <w:r>
        <w:separator/>
      </w:r>
    </w:p>
  </w:endnote>
  <w:endnote w:type="continuationSeparator" w:id="0">
    <w:p w:rsidR="002F3B50" w:rsidRDefault="002F3B50" w:rsidP="004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35" w:rsidRDefault="00543035" w:rsidP="0054303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1523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43035" w:rsidRDefault="005430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35" w:rsidRPr="001B3352" w:rsidRDefault="00543035" w:rsidP="00543035">
    <w:pPr>
      <w:pStyle w:val="Pieddepage"/>
      <w:framePr w:wrap="around" w:vAnchor="text" w:hAnchor="margin" w:xAlign="center" w:y="1"/>
      <w:rPr>
        <w:rStyle w:val="Numrodepage"/>
        <w:rFonts w:ascii="Arial" w:hAnsi="Arial" w:cs="Arial"/>
        <w:sz w:val="20"/>
        <w:szCs w:val="20"/>
      </w:rPr>
    </w:pPr>
    <w:r w:rsidRPr="001B3352">
      <w:rPr>
        <w:rStyle w:val="Numrodepage"/>
        <w:rFonts w:ascii="Arial" w:hAnsi="Arial" w:cs="Arial"/>
        <w:sz w:val="20"/>
        <w:szCs w:val="20"/>
      </w:rPr>
      <w:fldChar w:fldCharType="begin"/>
    </w:r>
    <w:r w:rsidRPr="001B3352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1B3352">
      <w:rPr>
        <w:rStyle w:val="Numrodepage"/>
        <w:rFonts w:ascii="Arial" w:hAnsi="Arial" w:cs="Arial"/>
        <w:sz w:val="20"/>
        <w:szCs w:val="20"/>
      </w:rPr>
      <w:fldChar w:fldCharType="separate"/>
    </w:r>
    <w:r w:rsidR="00315237">
      <w:rPr>
        <w:rStyle w:val="Numrodepage"/>
        <w:rFonts w:ascii="Arial" w:hAnsi="Arial" w:cs="Arial"/>
        <w:noProof/>
        <w:sz w:val="20"/>
        <w:szCs w:val="20"/>
      </w:rPr>
      <w:t>1</w:t>
    </w:r>
    <w:r w:rsidRPr="001B3352">
      <w:rPr>
        <w:rStyle w:val="Numrodepage"/>
        <w:rFonts w:ascii="Arial" w:hAnsi="Arial" w:cs="Arial"/>
        <w:sz w:val="20"/>
        <w:szCs w:val="20"/>
      </w:rPr>
      <w:fldChar w:fldCharType="end"/>
    </w:r>
  </w:p>
  <w:p w:rsidR="00543035" w:rsidRDefault="00543035" w:rsidP="00543035">
    <w:pPr>
      <w:pStyle w:val="Pieddepage"/>
      <w:tabs>
        <w:tab w:val="clear" w:pos="4513"/>
        <w:tab w:val="clear" w:pos="9026"/>
      </w:tabs>
      <w:jc w:val="right"/>
    </w:pPr>
  </w:p>
  <w:p w:rsidR="00543035" w:rsidRDefault="005430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50" w:rsidRDefault="002F3B50" w:rsidP="004844CF">
      <w:r>
        <w:separator/>
      </w:r>
    </w:p>
  </w:footnote>
  <w:footnote w:type="continuationSeparator" w:id="0">
    <w:p w:rsidR="002F3B50" w:rsidRDefault="002F3B50" w:rsidP="0048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401D"/>
    <w:multiLevelType w:val="multilevel"/>
    <w:tmpl w:val="B3185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BD06E3"/>
    <w:multiLevelType w:val="hybridMultilevel"/>
    <w:tmpl w:val="52DE7964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026E6"/>
    <w:multiLevelType w:val="hybridMultilevel"/>
    <w:tmpl w:val="DC4855A6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54A8"/>
    <w:multiLevelType w:val="hybridMultilevel"/>
    <w:tmpl w:val="CB7A7DBE"/>
    <w:lvl w:ilvl="0" w:tplc="44F6E20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24EB8"/>
    <w:multiLevelType w:val="hybridMultilevel"/>
    <w:tmpl w:val="1F58FAD8"/>
    <w:lvl w:ilvl="0" w:tplc="BFCECB3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6706D"/>
    <w:multiLevelType w:val="hybridMultilevel"/>
    <w:tmpl w:val="CB9A7BDC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4CF"/>
    <w:rsid w:val="000D521E"/>
    <w:rsid w:val="00242DC6"/>
    <w:rsid w:val="00270579"/>
    <w:rsid w:val="0029337E"/>
    <w:rsid w:val="002D6F5F"/>
    <w:rsid w:val="002F3B50"/>
    <w:rsid w:val="00315237"/>
    <w:rsid w:val="00347BBB"/>
    <w:rsid w:val="00354891"/>
    <w:rsid w:val="004301EB"/>
    <w:rsid w:val="004844CF"/>
    <w:rsid w:val="00543035"/>
    <w:rsid w:val="0070737C"/>
    <w:rsid w:val="009709E5"/>
    <w:rsid w:val="00B424B5"/>
    <w:rsid w:val="00B97BD3"/>
    <w:rsid w:val="00BD7E1D"/>
    <w:rsid w:val="00C1125D"/>
    <w:rsid w:val="00D35DA9"/>
    <w:rsid w:val="00DA0BC3"/>
    <w:rsid w:val="00DE04BB"/>
    <w:rsid w:val="00F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8E1A42-F3C5-4659-AA77-589ACBE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CF"/>
    <w:rPr>
      <w:rFonts w:ascii="Tahoma" w:hAnsi="Tahoma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4844CF"/>
    <w:pPr>
      <w:spacing w:after="120"/>
      <w:ind w:left="283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844C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844C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44CF"/>
    <w:rPr>
      <w:rFonts w:ascii="Tahoma" w:eastAsia="Calibri" w:hAnsi="Tahoma" w:cs="Times New Roman"/>
      <w:lang w:val="fr-FR"/>
    </w:rPr>
  </w:style>
  <w:style w:type="character" w:styleId="Numrodepage">
    <w:name w:val="page number"/>
    <w:basedOn w:val="Policepardfaut"/>
    <w:rsid w:val="004844CF"/>
  </w:style>
  <w:style w:type="paragraph" w:styleId="NormalWeb">
    <w:name w:val="Normal (Web)"/>
    <w:basedOn w:val="Normal"/>
    <w:uiPriority w:val="99"/>
    <w:rsid w:val="004844CF"/>
    <w:pPr>
      <w:spacing w:before="100" w:beforeAutospacing="1" w:after="100" w:afterAutospacing="1" w:line="280" w:lineRule="atLeast"/>
      <w:ind w:firstLine="113"/>
    </w:pPr>
    <w:rPr>
      <w:rFonts w:ascii="Arial" w:eastAsia="Times New Roman" w:hAnsi="Arial" w:cs="Arial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44C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44CF"/>
    <w:rPr>
      <w:rFonts w:ascii="Tahoma" w:eastAsia="Calibri" w:hAnsi="Tahoma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844C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DC6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DC6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DP6107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6107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/sftpecos/Dossiers_parlementaires/6107/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273DFCF-4AE0-460D-B18F-E68CF6570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1C9A2-8E81-4E6A-9DDE-50A4963463BA}"/>
</file>

<file path=customXml/itemProps3.xml><?xml version="1.0" encoding="utf-8"?>
<ds:datastoreItem xmlns:ds="http://schemas.openxmlformats.org/officeDocument/2006/customXml" ds:itemID="{D0C7FD23-7AA3-4918-89F3-9A57D851CC39}"/>
</file>

<file path=customXml/itemProps4.xml><?xml version="1.0" encoding="utf-8"?>
<ds:datastoreItem xmlns:ds="http://schemas.openxmlformats.org/officeDocument/2006/customXml" ds:itemID="{B4EFB6B9-A496-46FA-84FD-79DCC0D30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2010-03-01T14:09:00Z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