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A7C" w:rsidRPr="00D2537E" w:rsidRDefault="00372A7C" w:rsidP="00372A7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2537E">
        <w:rPr>
          <w:b/>
          <w:sz w:val="28"/>
          <w:szCs w:val="28"/>
        </w:rPr>
        <w:t>N° 6105</w:t>
      </w:r>
    </w:p>
    <w:p w:rsidR="00372A7C" w:rsidRPr="00D2537E" w:rsidRDefault="00372A7C" w:rsidP="00372A7C">
      <w:pPr>
        <w:jc w:val="center"/>
        <w:rPr>
          <w:b/>
          <w:sz w:val="28"/>
          <w:szCs w:val="28"/>
        </w:rPr>
      </w:pPr>
      <w:r w:rsidRPr="00D2537E">
        <w:rPr>
          <w:b/>
          <w:sz w:val="28"/>
          <w:szCs w:val="28"/>
        </w:rPr>
        <w:t>Chambre des Députés</w:t>
      </w:r>
    </w:p>
    <w:p w:rsidR="00372A7C" w:rsidRPr="00D2537E" w:rsidRDefault="00372A7C" w:rsidP="00372A7C">
      <w:pPr>
        <w:jc w:val="center"/>
        <w:rPr>
          <w:b/>
          <w:sz w:val="28"/>
          <w:szCs w:val="28"/>
        </w:rPr>
      </w:pPr>
      <w:r w:rsidRPr="00D2537E">
        <w:rPr>
          <w:b/>
          <w:sz w:val="28"/>
          <w:szCs w:val="28"/>
        </w:rPr>
        <w:t>Session ordinaire 2009-2010</w:t>
      </w:r>
    </w:p>
    <w:p w:rsidR="00372A7C" w:rsidRPr="00D2537E" w:rsidRDefault="00372A7C" w:rsidP="00372A7C">
      <w:pPr>
        <w:pBdr>
          <w:bottom w:val="thinThickSmallGap" w:sz="24" w:space="1" w:color="auto"/>
        </w:pBdr>
        <w:jc w:val="center"/>
        <w:rPr>
          <w:b/>
          <w:sz w:val="28"/>
          <w:szCs w:val="28"/>
        </w:rPr>
      </w:pPr>
    </w:p>
    <w:p w:rsidR="00372A7C" w:rsidRPr="00D2537E" w:rsidRDefault="00372A7C" w:rsidP="00372A7C">
      <w:pPr>
        <w:jc w:val="both"/>
        <w:rPr>
          <w:b/>
          <w:sz w:val="28"/>
          <w:szCs w:val="28"/>
        </w:rPr>
      </w:pPr>
    </w:p>
    <w:p w:rsidR="00372A7C" w:rsidRPr="00D2537E" w:rsidRDefault="00372A7C" w:rsidP="00372A7C">
      <w:pPr>
        <w:jc w:val="center"/>
        <w:rPr>
          <w:b/>
          <w:sz w:val="28"/>
          <w:szCs w:val="28"/>
        </w:rPr>
      </w:pPr>
      <w:r w:rsidRPr="00D2537E">
        <w:rPr>
          <w:b/>
          <w:sz w:val="28"/>
          <w:szCs w:val="28"/>
        </w:rPr>
        <w:t>Projet de loi</w:t>
      </w:r>
    </w:p>
    <w:p w:rsidR="00372A7C" w:rsidRPr="00D2537E" w:rsidRDefault="00372A7C" w:rsidP="00372A7C">
      <w:pPr>
        <w:jc w:val="center"/>
        <w:rPr>
          <w:b/>
          <w:sz w:val="28"/>
          <w:szCs w:val="28"/>
        </w:rPr>
      </w:pPr>
    </w:p>
    <w:p w:rsidR="00372A7C" w:rsidRPr="00D2537E" w:rsidRDefault="00372A7C" w:rsidP="00372A7C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fr-LU" w:eastAsia="fr-LU" w:bidi="ar-SA"/>
        </w:rPr>
      </w:pPr>
      <w:r w:rsidRPr="00D2537E">
        <w:rPr>
          <w:b/>
          <w:bCs/>
          <w:sz w:val="28"/>
          <w:szCs w:val="28"/>
          <w:lang w:val="fr-LU" w:eastAsia="fr-LU" w:bidi="ar-SA"/>
        </w:rPr>
        <w:t>portant transposition de la directive 2007/2/CE du Parlement européen et du Conseil du 14 mars 2007 établissant une infrastructure d’information géographique dans la Communauté européenne (INSPIRE) en droit national</w:t>
      </w:r>
    </w:p>
    <w:p w:rsidR="00372A7C" w:rsidRPr="00006352" w:rsidRDefault="00372A7C" w:rsidP="00372A7C">
      <w:pPr>
        <w:jc w:val="center"/>
        <w:rPr>
          <w:b/>
          <w:sz w:val="28"/>
          <w:szCs w:val="28"/>
        </w:rPr>
      </w:pPr>
    </w:p>
    <w:p w:rsidR="00780A72" w:rsidRPr="00D2537E" w:rsidRDefault="00371304" w:rsidP="00526F86">
      <w:pPr>
        <w:jc w:val="both"/>
        <w:rPr>
          <w:sz w:val="22"/>
          <w:szCs w:val="22"/>
        </w:rPr>
      </w:pPr>
      <w:r w:rsidRPr="00D2537E">
        <w:rPr>
          <w:sz w:val="22"/>
          <w:szCs w:val="22"/>
        </w:rPr>
        <w:t>Le présent projet</w:t>
      </w:r>
      <w:r w:rsidR="000A7826" w:rsidRPr="00D2537E">
        <w:rPr>
          <w:sz w:val="22"/>
          <w:szCs w:val="22"/>
        </w:rPr>
        <w:t xml:space="preserve"> de loi</w:t>
      </w:r>
      <w:r w:rsidRPr="00D2537E">
        <w:rPr>
          <w:sz w:val="22"/>
          <w:szCs w:val="22"/>
        </w:rPr>
        <w:t xml:space="preserve"> a pour objet de transposer en droit national la directive 2007/2/CE du Parlement</w:t>
      </w:r>
      <w:r w:rsidR="00CB1316" w:rsidRPr="00D2537E">
        <w:rPr>
          <w:sz w:val="22"/>
          <w:szCs w:val="22"/>
        </w:rPr>
        <w:t xml:space="preserve"> </w:t>
      </w:r>
      <w:r w:rsidRPr="00D2537E">
        <w:rPr>
          <w:sz w:val="22"/>
          <w:szCs w:val="22"/>
        </w:rPr>
        <w:t xml:space="preserve">européen et du Conseil du 14 mars 2007 établissant </w:t>
      </w:r>
      <w:r w:rsidR="00780A72" w:rsidRPr="00D2537E">
        <w:rPr>
          <w:sz w:val="22"/>
          <w:szCs w:val="22"/>
        </w:rPr>
        <w:t>au se</w:t>
      </w:r>
      <w:r w:rsidR="00D113B9" w:rsidRPr="00D2537E">
        <w:rPr>
          <w:sz w:val="22"/>
          <w:szCs w:val="22"/>
        </w:rPr>
        <w:t xml:space="preserve">in de l'Union européenne (UE) </w:t>
      </w:r>
      <w:r w:rsidR="00780A72" w:rsidRPr="00D2537E">
        <w:rPr>
          <w:sz w:val="22"/>
          <w:szCs w:val="22"/>
        </w:rPr>
        <w:t xml:space="preserve">une infrastructure d'information géographique (INSPIRE), </w:t>
      </w:r>
      <w:r w:rsidRPr="00D2537E">
        <w:rPr>
          <w:sz w:val="22"/>
          <w:szCs w:val="22"/>
        </w:rPr>
        <w:t xml:space="preserve">aux fins des politiques environnementales </w:t>
      </w:r>
      <w:r w:rsidR="00780A72" w:rsidRPr="00D2537E">
        <w:rPr>
          <w:sz w:val="22"/>
          <w:szCs w:val="22"/>
        </w:rPr>
        <w:t xml:space="preserve">communautaires </w:t>
      </w:r>
      <w:r w:rsidR="00D07A10" w:rsidRPr="00D2537E">
        <w:rPr>
          <w:sz w:val="22"/>
          <w:szCs w:val="22"/>
        </w:rPr>
        <w:t>ainsi que</w:t>
      </w:r>
      <w:r w:rsidR="00780A72" w:rsidRPr="00D2537E">
        <w:rPr>
          <w:sz w:val="22"/>
          <w:szCs w:val="22"/>
        </w:rPr>
        <w:t xml:space="preserve"> des politiques et </w:t>
      </w:r>
      <w:r w:rsidRPr="00D2537E">
        <w:rPr>
          <w:sz w:val="22"/>
          <w:szCs w:val="22"/>
        </w:rPr>
        <w:t>des activité</w:t>
      </w:r>
      <w:r w:rsidR="00780A72" w:rsidRPr="00D2537E">
        <w:rPr>
          <w:sz w:val="22"/>
          <w:szCs w:val="22"/>
        </w:rPr>
        <w:t>s</w:t>
      </w:r>
      <w:r w:rsidRPr="00D2537E">
        <w:rPr>
          <w:sz w:val="22"/>
          <w:szCs w:val="22"/>
        </w:rPr>
        <w:t xml:space="preserve"> </w:t>
      </w:r>
      <w:r w:rsidR="00780A72" w:rsidRPr="00D2537E">
        <w:rPr>
          <w:sz w:val="22"/>
          <w:szCs w:val="22"/>
        </w:rPr>
        <w:t>s</w:t>
      </w:r>
      <w:r w:rsidRPr="00D2537E">
        <w:rPr>
          <w:sz w:val="22"/>
          <w:szCs w:val="22"/>
        </w:rPr>
        <w:t>usceptibles d’avoir une incidence sur l’environnement.</w:t>
      </w:r>
      <w:r w:rsidR="00780A72" w:rsidRPr="00D2537E">
        <w:rPr>
          <w:sz w:val="22"/>
          <w:szCs w:val="22"/>
        </w:rPr>
        <w:t xml:space="preserve"> </w:t>
      </w:r>
    </w:p>
    <w:p w:rsidR="00780A72" w:rsidRPr="00D2537E" w:rsidRDefault="00780A72" w:rsidP="00526F86">
      <w:pPr>
        <w:jc w:val="both"/>
        <w:rPr>
          <w:sz w:val="22"/>
          <w:szCs w:val="22"/>
        </w:rPr>
      </w:pPr>
    </w:p>
    <w:p w:rsidR="00371304" w:rsidRPr="00D2537E" w:rsidRDefault="00780A72" w:rsidP="00526F86">
      <w:pPr>
        <w:jc w:val="both"/>
        <w:rPr>
          <w:sz w:val="22"/>
          <w:szCs w:val="22"/>
        </w:rPr>
      </w:pPr>
      <w:r w:rsidRPr="00D2537E">
        <w:rPr>
          <w:sz w:val="22"/>
          <w:szCs w:val="22"/>
        </w:rPr>
        <w:t>A cette fin, elle définit des règles tendant à améliorer et à coordonner la disponibilité, la qualité, l’organisation, l’accessibilité ainsi que l’interopérabilité et la mise en commun de certaines informations géographiques qui sont détenues par les autorités publiques</w:t>
      </w:r>
      <w:r w:rsidR="00CE42F8" w:rsidRPr="00D2537E">
        <w:rPr>
          <w:sz w:val="22"/>
          <w:szCs w:val="22"/>
        </w:rPr>
        <w:t>.</w:t>
      </w:r>
      <w:r w:rsidR="00CB1316" w:rsidRPr="00D2537E">
        <w:rPr>
          <w:sz w:val="22"/>
          <w:szCs w:val="22"/>
        </w:rPr>
        <w:t xml:space="preserve"> La directive s’applique aux données déjà détenues par les autorités publiques et n’impose donc pas la collecte de données supplémentaires</w:t>
      </w:r>
      <w:r w:rsidR="004C20F7" w:rsidRPr="00D2537E">
        <w:rPr>
          <w:sz w:val="22"/>
          <w:szCs w:val="22"/>
        </w:rPr>
        <w:t>.</w:t>
      </w:r>
    </w:p>
    <w:p w:rsidR="00371304" w:rsidRPr="00D2537E" w:rsidRDefault="00371304" w:rsidP="00526F86">
      <w:pPr>
        <w:jc w:val="both"/>
        <w:rPr>
          <w:sz w:val="22"/>
          <w:szCs w:val="22"/>
        </w:rPr>
      </w:pPr>
    </w:p>
    <w:p w:rsidR="00CB1316" w:rsidRPr="00D2537E" w:rsidRDefault="00CB1316" w:rsidP="00526F86">
      <w:pPr>
        <w:jc w:val="both"/>
        <w:rPr>
          <w:sz w:val="22"/>
          <w:szCs w:val="22"/>
        </w:rPr>
      </w:pPr>
      <w:r w:rsidRPr="00D2537E">
        <w:rPr>
          <w:sz w:val="22"/>
          <w:szCs w:val="22"/>
        </w:rPr>
        <w:t>Au niveau des Etats membres la mise en œuvre d</w:t>
      </w:r>
      <w:r w:rsidR="00EC7B3D" w:rsidRPr="00D2537E">
        <w:rPr>
          <w:sz w:val="22"/>
          <w:szCs w:val="22"/>
        </w:rPr>
        <w:t xml:space="preserve">e cette </w:t>
      </w:r>
      <w:r w:rsidRPr="00D2537E">
        <w:rPr>
          <w:sz w:val="22"/>
          <w:szCs w:val="22"/>
        </w:rPr>
        <w:t>infrastruct</w:t>
      </w:r>
      <w:r w:rsidR="00EC7B3D" w:rsidRPr="00D2537E">
        <w:rPr>
          <w:sz w:val="22"/>
          <w:szCs w:val="22"/>
        </w:rPr>
        <w:t>ure d'information géographique</w:t>
      </w:r>
      <w:r w:rsidRPr="00D2537E">
        <w:rPr>
          <w:sz w:val="22"/>
          <w:szCs w:val="22"/>
        </w:rPr>
        <w:t xml:space="preserve"> implique</w:t>
      </w:r>
      <w:r w:rsidR="00EC7B3D" w:rsidRPr="00D2537E">
        <w:rPr>
          <w:sz w:val="22"/>
          <w:szCs w:val="22"/>
        </w:rPr>
        <w:t> :</w:t>
      </w:r>
    </w:p>
    <w:p w:rsidR="00EC7B3D" w:rsidRPr="00D2537E" w:rsidRDefault="00EC7B3D" w:rsidP="00526F86">
      <w:pPr>
        <w:jc w:val="both"/>
        <w:rPr>
          <w:sz w:val="22"/>
          <w:szCs w:val="22"/>
        </w:rPr>
      </w:pPr>
    </w:p>
    <w:p w:rsidR="00526F86" w:rsidRPr="00D2537E" w:rsidRDefault="005C4088" w:rsidP="00526F86">
      <w:pPr>
        <w:numPr>
          <w:ilvl w:val="0"/>
          <w:numId w:val="4"/>
        </w:numPr>
        <w:jc w:val="both"/>
        <w:rPr>
          <w:sz w:val="22"/>
          <w:szCs w:val="22"/>
        </w:rPr>
      </w:pPr>
      <w:r w:rsidRPr="00D2537E">
        <w:rPr>
          <w:sz w:val="22"/>
          <w:szCs w:val="22"/>
        </w:rPr>
        <w:t>l</w:t>
      </w:r>
      <w:r w:rsidR="00EC7B3D" w:rsidRPr="00D2537E">
        <w:rPr>
          <w:sz w:val="22"/>
          <w:szCs w:val="22"/>
        </w:rPr>
        <w:t>a création</w:t>
      </w:r>
      <w:r w:rsidRPr="00D2537E">
        <w:rPr>
          <w:sz w:val="22"/>
          <w:szCs w:val="22"/>
        </w:rPr>
        <w:t xml:space="preserve"> </w:t>
      </w:r>
      <w:r w:rsidR="00EC7B3D" w:rsidRPr="00D2537E">
        <w:rPr>
          <w:sz w:val="22"/>
          <w:szCs w:val="22"/>
        </w:rPr>
        <w:t>de métadonnées</w:t>
      </w:r>
      <w:r w:rsidR="00526F86" w:rsidRPr="00D2537E">
        <w:rPr>
          <w:rStyle w:val="Appelnotedebasdep"/>
          <w:sz w:val="22"/>
          <w:szCs w:val="22"/>
        </w:rPr>
        <w:footnoteReference w:id="1"/>
      </w:r>
      <w:r w:rsidR="00EC7B3D" w:rsidRPr="00D2537E">
        <w:rPr>
          <w:sz w:val="22"/>
          <w:szCs w:val="22"/>
        </w:rPr>
        <w:t xml:space="preserve"> pour les séries et les services de données géograp</w:t>
      </w:r>
      <w:r w:rsidRPr="00D2537E">
        <w:rPr>
          <w:sz w:val="22"/>
          <w:szCs w:val="22"/>
        </w:rPr>
        <w:t>hiques définis par la directive</w:t>
      </w:r>
      <w:r w:rsidR="00C20D84" w:rsidRPr="00D2537E">
        <w:rPr>
          <w:sz w:val="22"/>
          <w:szCs w:val="22"/>
        </w:rPr>
        <w:t xml:space="preserve"> ;</w:t>
      </w:r>
    </w:p>
    <w:p w:rsidR="00526F86" w:rsidRPr="00D2537E" w:rsidRDefault="00EC7B3D" w:rsidP="00526F86">
      <w:pPr>
        <w:numPr>
          <w:ilvl w:val="0"/>
          <w:numId w:val="4"/>
        </w:numPr>
        <w:jc w:val="both"/>
        <w:rPr>
          <w:sz w:val="22"/>
          <w:szCs w:val="22"/>
        </w:rPr>
      </w:pPr>
      <w:r w:rsidRPr="00D2537E">
        <w:rPr>
          <w:sz w:val="22"/>
          <w:szCs w:val="22"/>
        </w:rPr>
        <w:t>la mise en place d’un réseau de services concernant les séries et services de données pour lesquels</w:t>
      </w:r>
      <w:r w:rsidR="005C4088" w:rsidRPr="00D2537E">
        <w:rPr>
          <w:sz w:val="22"/>
          <w:szCs w:val="22"/>
        </w:rPr>
        <w:t xml:space="preserve"> </w:t>
      </w:r>
      <w:r w:rsidRPr="00D2537E">
        <w:rPr>
          <w:sz w:val="22"/>
          <w:szCs w:val="22"/>
        </w:rPr>
        <w:t>des métadonnées ont été créées, permettant notamment la consultat</w:t>
      </w:r>
      <w:r w:rsidR="005C4088" w:rsidRPr="00D2537E">
        <w:rPr>
          <w:sz w:val="22"/>
          <w:szCs w:val="22"/>
        </w:rPr>
        <w:t xml:space="preserve">ion et la recherche des données </w:t>
      </w:r>
      <w:r w:rsidR="00C20D84" w:rsidRPr="00D2537E">
        <w:rPr>
          <w:sz w:val="22"/>
          <w:szCs w:val="22"/>
        </w:rPr>
        <w:t>par le public ;</w:t>
      </w:r>
      <w:r w:rsidRPr="00D2537E">
        <w:rPr>
          <w:sz w:val="22"/>
          <w:szCs w:val="22"/>
        </w:rPr>
        <w:t xml:space="preserve"> </w:t>
      </w:r>
    </w:p>
    <w:p w:rsidR="00526F86" w:rsidRPr="00D2537E" w:rsidRDefault="00EC7B3D" w:rsidP="00526F86">
      <w:pPr>
        <w:numPr>
          <w:ilvl w:val="0"/>
          <w:numId w:val="4"/>
        </w:numPr>
        <w:jc w:val="both"/>
        <w:rPr>
          <w:sz w:val="22"/>
          <w:szCs w:val="22"/>
        </w:rPr>
      </w:pPr>
      <w:r w:rsidRPr="00D2537E">
        <w:rPr>
          <w:sz w:val="22"/>
          <w:szCs w:val="22"/>
        </w:rPr>
        <w:t>une interopérabilité des séries et des services de données géographiques, conformément</w:t>
      </w:r>
      <w:r w:rsidR="005C4088" w:rsidRPr="00D2537E">
        <w:rPr>
          <w:sz w:val="22"/>
          <w:szCs w:val="22"/>
        </w:rPr>
        <w:t xml:space="preserve"> </w:t>
      </w:r>
      <w:r w:rsidRPr="00D2537E">
        <w:rPr>
          <w:sz w:val="22"/>
          <w:szCs w:val="22"/>
        </w:rPr>
        <w:t xml:space="preserve">à des règles de mise en </w:t>
      </w:r>
      <w:r w:rsidR="00841B02" w:rsidRPr="00D2537E">
        <w:rPr>
          <w:sz w:val="22"/>
          <w:szCs w:val="22"/>
        </w:rPr>
        <w:t>œuvre</w:t>
      </w:r>
      <w:r w:rsidR="00C20D84" w:rsidRPr="00D2537E">
        <w:rPr>
          <w:sz w:val="22"/>
          <w:szCs w:val="22"/>
        </w:rPr>
        <w:t xml:space="preserve"> à fixer au niveau européen ;</w:t>
      </w:r>
      <w:r w:rsidR="005C4088" w:rsidRPr="00D2537E">
        <w:rPr>
          <w:sz w:val="22"/>
          <w:szCs w:val="22"/>
        </w:rPr>
        <w:t xml:space="preserve"> </w:t>
      </w:r>
    </w:p>
    <w:p w:rsidR="005C4088" w:rsidRPr="00D2537E" w:rsidRDefault="00EC7B3D" w:rsidP="00526F86">
      <w:pPr>
        <w:numPr>
          <w:ilvl w:val="0"/>
          <w:numId w:val="4"/>
        </w:numPr>
        <w:jc w:val="both"/>
        <w:rPr>
          <w:sz w:val="22"/>
          <w:szCs w:val="22"/>
        </w:rPr>
      </w:pPr>
      <w:r w:rsidRPr="00D2537E">
        <w:rPr>
          <w:sz w:val="22"/>
          <w:szCs w:val="22"/>
        </w:rPr>
        <w:t>un partage de données entre</w:t>
      </w:r>
      <w:r w:rsidR="005C4088" w:rsidRPr="00D2537E">
        <w:rPr>
          <w:sz w:val="22"/>
          <w:szCs w:val="22"/>
        </w:rPr>
        <w:t xml:space="preserve"> </w:t>
      </w:r>
      <w:r w:rsidRPr="00D2537E">
        <w:rPr>
          <w:sz w:val="22"/>
          <w:szCs w:val="22"/>
        </w:rPr>
        <w:t>autorités publiques aux niveaux national et européen</w:t>
      </w:r>
      <w:r w:rsidR="00C20D84" w:rsidRPr="00D2537E">
        <w:rPr>
          <w:sz w:val="22"/>
          <w:szCs w:val="22"/>
        </w:rPr>
        <w:t xml:space="preserve"> ;</w:t>
      </w:r>
    </w:p>
    <w:p w:rsidR="00EC7B3D" w:rsidRPr="00D2537E" w:rsidRDefault="00EC7B3D" w:rsidP="00526F86">
      <w:pPr>
        <w:numPr>
          <w:ilvl w:val="0"/>
          <w:numId w:val="4"/>
        </w:numPr>
        <w:jc w:val="both"/>
        <w:rPr>
          <w:sz w:val="22"/>
          <w:szCs w:val="22"/>
        </w:rPr>
      </w:pPr>
      <w:r w:rsidRPr="00D2537E">
        <w:rPr>
          <w:sz w:val="22"/>
          <w:szCs w:val="22"/>
        </w:rPr>
        <w:t>ainsi que la désignation de structures et mécanismes</w:t>
      </w:r>
      <w:r w:rsidR="005C4088" w:rsidRPr="00D2537E">
        <w:rPr>
          <w:sz w:val="22"/>
          <w:szCs w:val="22"/>
        </w:rPr>
        <w:t xml:space="preserve"> </w:t>
      </w:r>
      <w:r w:rsidRPr="00D2537E">
        <w:rPr>
          <w:sz w:val="22"/>
          <w:szCs w:val="22"/>
        </w:rPr>
        <w:t>appropriés pour coordonner l’ensemble des contributions à l’in</w:t>
      </w:r>
      <w:r w:rsidR="005C4088" w:rsidRPr="00D2537E">
        <w:rPr>
          <w:sz w:val="22"/>
          <w:szCs w:val="22"/>
        </w:rPr>
        <w:t xml:space="preserve">frastructure et servir de point </w:t>
      </w:r>
      <w:r w:rsidRPr="00D2537E">
        <w:rPr>
          <w:sz w:val="22"/>
          <w:szCs w:val="22"/>
        </w:rPr>
        <w:t>de contac</w:t>
      </w:r>
      <w:r w:rsidR="005C4088" w:rsidRPr="00D2537E">
        <w:rPr>
          <w:sz w:val="22"/>
          <w:szCs w:val="22"/>
        </w:rPr>
        <w:t>t avec la Commission européenne</w:t>
      </w:r>
      <w:r w:rsidRPr="00D2537E">
        <w:rPr>
          <w:sz w:val="22"/>
          <w:szCs w:val="22"/>
        </w:rPr>
        <w:t>.</w:t>
      </w:r>
    </w:p>
    <w:p w:rsidR="00841B02" w:rsidRPr="00D2537E" w:rsidRDefault="00841B02" w:rsidP="00841B02">
      <w:pPr>
        <w:pStyle w:val="Paragraphedeliste"/>
        <w:rPr>
          <w:sz w:val="22"/>
          <w:szCs w:val="22"/>
        </w:rPr>
      </w:pPr>
    </w:p>
    <w:p w:rsidR="00182094" w:rsidRPr="00D2537E" w:rsidRDefault="00182094" w:rsidP="004C20F7">
      <w:pPr>
        <w:autoSpaceDE w:val="0"/>
        <w:autoSpaceDN w:val="0"/>
        <w:adjustRightInd w:val="0"/>
        <w:jc w:val="both"/>
        <w:rPr>
          <w:rFonts w:ascii="Times-Roman" w:hAnsi="Times-Roman" w:cs="Times-Roman"/>
          <w:sz w:val="22"/>
          <w:szCs w:val="22"/>
          <w:lang w:val="fr-LU" w:eastAsia="fr-LU" w:bidi="ar-SA"/>
        </w:rPr>
      </w:pPr>
      <w:r w:rsidRPr="00D2537E">
        <w:rPr>
          <w:rFonts w:ascii="Times-Roman" w:hAnsi="Times-Roman" w:cs="Times-Roman"/>
          <w:sz w:val="22"/>
          <w:szCs w:val="22"/>
          <w:lang w:val="fr-LU" w:eastAsia="fr-LU" w:bidi="ar-SA"/>
        </w:rPr>
        <w:t xml:space="preserve">Le projet de loi </w:t>
      </w:r>
      <w:r w:rsidR="004C20F7" w:rsidRPr="00D2537E">
        <w:rPr>
          <w:rFonts w:ascii="Times-Roman" w:hAnsi="Times-Roman" w:cs="Times-Roman"/>
          <w:sz w:val="22"/>
          <w:szCs w:val="22"/>
          <w:lang w:val="fr-LU" w:eastAsia="fr-LU" w:bidi="ar-SA"/>
        </w:rPr>
        <w:t xml:space="preserve">sous rubrique </w:t>
      </w:r>
      <w:r w:rsidRPr="00D2537E">
        <w:rPr>
          <w:rFonts w:ascii="Times-Roman" w:hAnsi="Times-Roman" w:cs="Times-Roman"/>
          <w:sz w:val="22"/>
          <w:szCs w:val="22"/>
          <w:lang w:val="fr-LU" w:eastAsia="fr-LU" w:bidi="ar-SA"/>
        </w:rPr>
        <w:t xml:space="preserve">fixe le cadre légal pour la mise en place de l’infrastructure </w:t>
      </w:r>
      <w:r w:rsidR="00860B83" w:rsidRPr="00D2537E">
        <w:rPr>
          <w:rFonts w:ascii="Times-Roman" w:hAnsi="Times-Roman" w:cs="Times-Roman"/>
          <w:sz w:val="22"/>
          <w:szCs w:val="22"/>
          <w:lang w:val="fr-LU" w:eastAsia="fr-LU" w:bidi="ar-SA"/>
        </w:rPr>
        <w:t>luxembourgeoise</w:t>
      </w:r>
      <w:r w:rsidR="00890E34" w:rsidRPr="00D2537E">
        <w:rPr>
          <w:rFonts w:ascii="Times-Roman" w:hAnsi="Times-Roman" w:cs="Times-Roman"/>
          <w:sz w:val="22"/>
          <w:szCs w:val="22"/>
          <w:lang w:val="fr-LU" w:eastAsia="fr-LU" w:bidi="ar-SA"/>
        </w:rPr>
        <w:t xml:space="preserve"> </w:t>
      </w:r>
      <w:r w:rsidR="00860B83" w:rsidRPr="00D2537E">
        <w:rPr>
          <w:rFonts w:ascii="Times-Roman" w:hAnsi="Times-Roman" w:cs="Times-Roman"/>
          <w:sz w:val="22"/>
          <w:szCs w:val="22"/>
          <w:lang w:val="fr-LU" w:eastAsia="fr-LU" w:bidi="ar-SA"/>
        </w:rPr>
        <w:t>correspondante,</w:t>
      </w:r>
      <w:r w:rsidR="004C20F7" w:rsidRPr="00D2537E">
        <w:rPr>
          <w:rFonts w:ascii="Times-Roman" w:hAnsi="Times-Roman" w:cs="Times-Roman"/>
          <w:sz w:val="22"/>
          <w:szCs w:val="22"/>
          <w:lang w:val="fr-LU" w:eastAsia="fr-LU" w:bidi="ar-SA"/>
        </w:rPr>
        <w:t> l’«</w:t>
      </w:r>
      <w:r w:rsidRPr="00D2537E">
        <w:rPr>
          <w:rFonts w:ascii="Times-Roman" w:hAnsi="Times-Roman" w:cs="Times-Roman"/>
          <w:sz w:val="22"/>
          <w:szCs w:val="22"/>
          <w:lang w:val="fr-LU" w:eastAsia="fr-LU" w:bidi="ar-SA"/>
        </w:rPr>
        <w:t xml:space="preserve">infrastructure luxembourgeoise </w:t>
      </w:r>
      <w:r w:rsidR="004C20F7" w:rsidRPr="00D2537E">
        <w:rPr>
          <w:rFonts w:ascii="Times-Roman" w:hAnsi="Times-Roman" w:cs="Times-Roman"/>
          <w:sz w:val="22"/>
          <w:szCs w:val="22"/>
          <w:lang w:val="fr-LU" w:eastAsia="fr-LU" w:bidi="ar-SA"/>
        </w:rPr>
        <w:t>de données géographiques (ILDG) »</w:t>
      </w:r>
      <w:r w:rsidRPr="00D2537E">
        <w:rPr>
          <w:rFonts w:ascii="Times-Roman" w:hAnsi="Times-Roman" w:cs="Times-Roman"/>
          <w:sz w:val="22"/>
          <w:szCs w:val="22"/>
          <w:lang w:val="fr-LU" w:eastAsia="fr-LU" w:bidi="ar-SA"/>
        </w:rPr>
        <w:t>.</w:t>
      </w:r>
    </w:p>
    <w:p w:rsidR="00860B83" w:rsidRPr="00D2537E" w:rsidRDefault="00860B83" w:rsidP="004C20F7">
      <w:pPr>
        <w:autoSpaceDE w:val="0"/>
        <w:autoSpaceDN w:val="0"/>
        <w:adjustRightInd w:val="0"/>
        <w:jc w:val="both"/>
        <w:rPr>
          <w:rFonts w:ascii="Times-Roman" w:hAnsi="Times-Roman" w:cs="Times-Roman"/>
          <w:sz w:val="22"/>
          <w:szCs w:val="22"/>
          <w:lang w:val="fr-LU" w:eastAsia="fr-LU" w:bidi="ar-SA"/>
        </w:rPr>
      </w:pPr>
    </w:p>
    <w:p w:rsidR="008531C3" w:rsidRPr="00D2537E" w:rsidRDefault="008531C3" w:rsidP="004A346A">
      <w:pPr>
        <w:jc w:val="both"/>
        <w:rPr>
          <w:b/>
          <w:sz w:val="22"/>
          <w:szCs w:val="22"/>
        </w:rPr>
      </w:pPr>
    </w:p>
    <w:sectPr w:rsidR="008531C3" w:rsidRPr="00D2537E" w:rsidSect="00651F9A">
      <w:foot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D53" w:rsidRDefault="00143D53" w:rsidP="00526F86">
      <w:r>
        <w:separator/>
      </w:r>
    </w:p>
  </w:endnote>
  <w:endnote w:type="continuationSeparator" w:id="0">
    <w:p w:rsidR="00143D53" w:rsidRDefault="00143D53" w:rsidP="00526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5D8" w:rsidRDefault="006145D8">
    <w:pPr>
      <w:pStyle w:val="Pieddepag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261EB">
      <w:rPr>
        <w:noProof/>
      </w:rPr>
      <w:t>1</w:t>
    </w:r>
    <w:r>
      <w:fldChar w:fldCharType="end"/>
    </w:r>
  </w:p>
  <w:p w:rsidR="006145D8" w:rsidRDefault="006145D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D53" w:rsidRDefault="00143D53" w:rsidP="00526F86">
      <w:r>
        <w:separator/>
      </w:r>
    </w:p>
  </w:footnote>
  <w:footnote w:type="continuationSeparator" w:id="0">
    <w:p w:rsidR="00143D53" w:rsidRDefault="00143D53" w:rsidP="00526F86">
      <w:r>
        <w:continuationSeparator/>
      </w:r>
    </w:p>
  </w:footnote>
  <w:footnote w:id="1">
    <w:p w:rsidR="00526F86" w:rsidRPr="00526F86" w:rsidRDefault="00526F86">
      <w:pPr>
        <w:pStyle w:val="Notedebasdepage"/>
      </w:pPr>
      <w:r>
        <w:rPr>
          <w:rStyle w:val="Appelnotedebasdep"/>
        </w:rPr>
        <w:footnoteRef/>
      </w:r>
      <w:r>
        <w:t xml:space="preserve"> Métadonnées : l’information décrivant les séries et services de données géographiques et rendant possible leur recherche, leur inventaire et leur utilisation.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A030C"/>
    <w:multiLevelType w:val="multilevel"/>
    <w:tmpl w:val="0DACC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7D3F1C"/>
    <w:multiLevelType w:val="multilevel"/>
    <w:tmpl w:val="89725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4745B1"/>
    <w:multiLevelType w:val="hybridMultilevel"/>
    <w:tmpl w:val="3F94753A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86B76"/>
    <w:multiLevelType w:val="multilevel"/>
    <w:tmpl w:val="FED26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413C"/>
    <w:rsid w:val="00000FA6"/>
    <w:rsid w:val="00006352"/>
    <w:rsid w:val="00010F76"/>
    <w:rsid w:val="00017190"/>
    <w:rsid w:val="00053810"/>
    <w:rsid w:val="00073096"/>
    <w:rsid w:val="000A7826"/>
    <w:rsid w:val="00100334"/>
    <w:rsid w:val="00117266"/>
    <w:rsid w:val="00123567"/>
    <w:rsid w:val="00143D53"/>
    <w:rsid w:val="00175325"/>
    <w:rsid w:val="00182094"/>
    <w:rsid w:val="001E51DD"/>
    <w:rsid w:val="001E70F0"/>
    <w:rsid w:val="001F2357"/>
    <w:rsid w:val="00207A54"/>
    <w:rsid w:val="0024758C"/>
    <w:rsid w:val="0025434F"/>
    <w:rsid w:val="00256DF1"/>
    <w:rsid w:val="002B7F34"/>
    <w:rsid w:val="003300BD"/>
    <w:rsid w:val="00344B46"/>
    <w:rsid w:val="003534DB"/>
    <w:rsid w:val="00371304"/>
    <w:rsid w:val="00372A7C"/>
    <w:rsid w:val="003811C2"/>
    <w:rsid w:val="003858D2"/>
    <w:rsid w:val="00393D41"/>
    <w:rsid w:val="003C11B6"/>
    <w:rsid w:val="003C2EE9"/>
    <w:rsid w:val="003D2069"/>
    <w:rsid w:val="003D3612"/>
    <w:rsid w:val="003F386D"/>
    <w:rsid w:val="0040460B"/>
    <w:rsid w:val="00406C3E"/>
    <w:rsid w:val="00446BE4"/>
    <w:rsid w:val="004740E3"/>
    <w:rsid w:val="004963A7"/>
    <w:rsid w:val="004A346A"/>
    <w:rsid w:val="004B54D7"/>
    <w:rsid w:val="004C20F7"/>
    <w:rsid w:val="004F778C"/>
    <w:rsid w:val="00526F86"/>
    <w:rsid w:val="00540024"/>
    <w:rsid w:val="005426DC"/>
    <w:rsid w:val="005A679D"/>
    <w:rsid w:val="005B5A91"/>
    <w:rsid w:val="005C058E"/>
    <w:rsid w:val="005C4088"/>
    <w:rsid w:val="00601ED7"/>
    <w:rsid w:val="00603F2D"/>
    <w:rsid w:val="006145D8"/>
    <w:rsid w:val="00651F9A"/>
    <w:rsid w:val="00670260"/>
    <w:rsid w:val="00690D68"/>
    <w:rsid w:val="006A7ADF"/>
    <w:rsid w:val="006B25A7"/>
    <w:rsid w:val="006C6C0B"/>
    <w:rsid w:val="007261EB"/>
    <w:rsid w:val="007372A5"/>
    <w:rsid w:val="0074252A"/>
    <w:rsid w:val="00746EB4"/>
    <w:rsid w:val="00760E97"/>
    <w:rsid w:val="00780A72"/>
    <w:rsid w:val="00786F2E"/>
    <w:rsid w:val="00793110"/>
    <w:rsid w:val="00805BC5"/>
    <w:rsid w:val="0081790C"/>
    <w:rsid w:val="00841B02"/>
    <w:rsid w:val="0085191A"/>
    <w:rsid w:val="008531C3"/>
    <w:rsid w:val="00860B83"/>
    <w:rsid w:val="008644DC"/>
    <w:rsid w:val="00876164"/>
    <w:rsid w:val="00877184"/>
    <w:rsid w:val="00890E34"/>
    <w:rsid w:val="008B2976"/>
    <w:rsid w:val="008B2B48"/>
    <w:rsid w:val="008B776C"/>
    <w:rsid w:val="008C1AD7"/>
    <w:rsid w:val="008C5F28"/>
    <w:rsid w:val="008C76DA"/>
    <w:rsid w:val="008D5CA9"/>
    <w:rsid w:val="0092413C"/>
    <w:rsid w:val="00924564"/>
    <w:rsid w:val="00962BF6"/>
    <w:rsid w:val="00983ED4"/>
    <w:rsid w:val="009B74AE"/>
    <w:rsid w:val="009D3215"/>
    <w:rsid w:val="009D746E"/>
    <w:rsid w:val="00A03B0A"/>
    <w:rsid w:val="00A22067"/>
    <w:rsid w:val="00A26B69"/>
    <w:rsid w:val="00A45E33"/>
    <w:rsid w:val="00A70501"/>
    <w:rsid w:val="00AC2D87"/>
    <w:rsid w:val="00AD017E"/>
    <w:rsid w:val="00AD77E5"/>
    <w:rsid w:val="00B076BB"/>
    <w:rsid w:val="00B21A0A"/>
    <w:rsid w:val="00BB22BE"/>
    <w:rsid w:val="00BE706B"/>
    <w:rsid w:val="00C20D84"/>
    <w:rsid w:val="00C4663F"/>
    <w:rsid w:val="00C60A91"/>
    <w:rsid w:val="00CB1316"/>
    <w:rsid w:val="00CE42F8"/>
    <w:rsid w:val="00D07A10"/>
    <w:rsid w:val="00D1006F"/>
    <w:rsid w:val="00D113B9"/>
    <w:rsid w:val="00D2537E"/>
    <w:rsid w:val="00D335B9"/>
    <w:rsid w:val="00D45BDC"/>
    <w:rsid w:val="00D96EFD"/>
    <w:rsid w:val="00DA22A9"/>
    <w:rsid w:val="00DA3C99"/>
    <w:rsid w:val="00DB40CC"/>
    <w:rsid w:val="00DB6A37"/>
    <w:rsid w:val="00DC2A8F"/>
    <w:rsid w:val="00DD4423"/>
    <w:rsid w:val="00DE18E4"/>
    <w:rsid w:val="00E55ED7"/>
    <w:rsid w:val="00E82CC2"/>
    <w:rsid w:val="00E96B66"/>
    <w:rsid w:val="00EA058A"/>
    <w:rsid w:val="00EC7B3D"/>
    <w:rsid w:val="00ED59DB"/>
    <w:rsid w:val="00EE2B66"/>
    <w:rsid w:val="00F1243C"/>
    <w:rsid w:val="00F34860"/>
    <w:rsid w:val="00FC0EFD"/>
    <w:rsid w:val="00FC1F9B"/>
    <w:rsid w:val="00FE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011274C-A3DE-42D7-9232-234701400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266"/>
    <w:rPr>
      <w:sz w:val="24"/>
      <w:szCs w:val="24"/>
      <w:lang w:val="fr-FR" w:eastAsia="en-US" w:bidi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117266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17266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17266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172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172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17266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17266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17266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17266"/>
    <w:pPr>
      <w:spacing w:before="240" w:after="60"/>
      <w:outlineLvl w:val="8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17266"/>
    <w:rPr>
      <w:rFonts w:ascii="Times New Roman" w:eastAsia="Times New Roman" w:hAnsi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117266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17266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117266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17266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117266"/>
    <w:rPr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117266"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17266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17266"/>
    <w:rPr>
      <w:rFonts w:ascii="Times New Roman" w:eastAsia="Times New Roman" w:hAnsi="Times New Roman"/>
    </w:rPr>
  </w:style>
  <w:style w:type="paragraph" w:styleId="Titre">
    <w:name w:val="Title"/>
    <w:basedOn w:val="Normal"/>
    <w:next w:val="Normal"/>
    <w:link w:val="TitreCar"/>
    <w:uiPriority w:val="10"/>
    <w:qFormat/>
    <w:rsid w:val="00117266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117266"/>
    <w:rPr>
      <w:rFonts w:ascii="Times New Roman" w:eastAsia="Times New Roman" w:hAnsi="Times New Roman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17266"/>
    <w:pPr>
      <w:spacing w:after="60"/>
      <w:jc w:val="center"/>
      <w:outlineLvl w:val="1"/>
    </w:pPr>
  </w:style>
  <w:style w:type="character" w:customStyle="1" w:styleId="Sous-titreCar">
    <w:name w:val="Sous-titre Car"/>
    <w:basedOn w:val="Policepardfaut"/>
    <w:link w:val="Sous-titre"/>
    <w:uiPriority w:val="11"/>
    <w:rsid w:val="00117266"/>
    <w:rPr>
      <w:rFonts w:ascii="Times New Roman" w:eastAsia="Times New Roman" w:hAnsi="Times New Roman"/>
      <w:sz w:val="24"/>
      <w:szCs w:val="24"/>
    </w:rPr>
  </w:style>
  <w:style w:type="character" w:styleId="lev">
    <w:name w:val="Strong"/>
    <w:basedOn w:val="Policepardfaut"/>
    <w:qFormat/>
    <w:rsid w:val="00117266"/>
    <w:rPr>
      <w:b/>
      <w:bCs/>
    </w:rPr>
  </w:style>
  <w:style w:type="character" w:styleId="Accentuation">
    <w:name w:val="Emphasis"/>
    <w:basedOn w:val="Policepardfaut"/>
    <w:uiPriority w:val="20"/>
    <w:qFormat/>
    <w:rsid w:val="00117266"/>
    <w:rPr>
      <w:rFonts w:ascii="Times New Roman" w:hAnsi="Times New Roman"/>
      <w:b/>
      <w:i/>
      <w:iCs/>
    </w:rPr>
  </w:style>
  <w:style w:type="paragraph" w:styleId="Sansinterligne">
    <w:name w:val="No Spacing"/>
    <w:basedOn w:val="Normal"/>
    <w:uiPriority w:val="1"/>
    <w:qFormat/>
    <w:rsid w:val="00117266"/>
    <w:rPr>
      <w:szCs w:val="32"/>
    </w:rPr>
  </w:style>
  <w:style w:type="paragraph" w:styleId="Paragraphedeliste">
    <w:name w:val="List Paragraph"/>
    <w:basedOn w:val="Normal"/>
    <w:uiPriority w:val="34"/>
    <w:qFormat/>
    <w:rsid w:val="00117266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117266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117266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17266"/>
    <w:pPr>
      <w:ind w:left="720" w:right="720"/>
    </w:pPr>
    <w:rPr>
      <w:b/>
      <w:i/>
      <w:szCs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17266"/>
    <w:rPr>
      <w:b/>
      <w:i/>
      <w:sz w:val="24"/>
    </w:rPr>
  </w:style>
  <w:style w:type="character" w:styleId="Emphaseple">
    <w:name w:val="Subtle Emphasis"/>
    <w:uiPriority w:val="19"/>
    <w:qFormat/>
    <w:rsid w:val="00117266"/>
    <w:rPr>
      <w:i/>
      <w:color w:val="5A5A5A"/>
    </w:rPr>
  </w:style>
  <w:style w:type="character" w:styleId="Emphaseintense">
    <w:name w:val="Intense Emphasis"/>
    <w:basedOn w:val="Policepardfaut"/>
    <w:uiPriority w:val="21"/>
    <w:qFormat/>
    <w:rsid w:val="00117266"/>
    <w:rPr>
      <w:b/>
      <w:i/>
      <w:sz w:val="24"/>
      <w:szCs w:val="24"/>
      <w:u w:val="single"/>
    </w:rPr>
  </w:style>
  <w:style w:type="character" w:styleId="Rfrenceple">
    <w:name w:val="Subtle Reference"/>
    <w:basedOn w:val="Policepardfaut"/>
    <w:uiPriority w:val="31"/>
    <w:qFormat/>
    <w:rsid w:val="00117266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117266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117266"/>
    <w:rPr>
      <w:rFonts w:ascii="Times New Roman" w:eastAsia="Times New Roman" w:hAnsi="Times New Roman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117266"/>
    <w:pPr>
      <w:outlineLvl w:val="9"/>
    </w:pPr>
  </w:style>
  <w:style w:type="paragraph" w:styleId="NormalWeb">
    <w:name w:val="Normal (Web)"/>
    <w:basedOn w:val="Normal"/>
    <w:uiPriority w:val="99"/>
    <w:unhideWhenUsed/>
    <w:rsid w:val="0092413C"/>
    <w:pPr>
      <w:spacing w:before="100" w:beforeAutospacing="1" w:after="100" w:afterAutospacing="1"/>
    </w:pPr>
    <w:rPr>
      <w:lang w:val="fr-LU" w:eastAsia="fr-LU" w:bidi="ar-SA"/>
    </w:rPr>
  </w:style>
  <w:style w:type="character" w:styleId="Lienhypertexte">
    <w:name w:val="Hyperlink"/>
    <w:basedOn w:val="Policepardfaut"/>
    <w:uiPriority w:val="99"/>
    <w:semiHidden/>
    <w:unhideWhenUsed/>
    <w:rsid w:val="0092413C"/>
    <w:rPr>
      <w:color w:val="0000FF"/>
      <w:u w:val="single"/>
    </w:rPr>
  </w:style>
  <w:style w:type="paragraph" w:customStyle="1" w:styleId="chapo">
    <w:name w:val="chapo"/>
    <w:basedOn w:val="Normal"/>
    <w:rsid w:val="0092413C"/>
    <w:pPr>
      <w:spacing w:before="100" w:beforeAutospacing="1" w:after="100" w:afterAutospacing="1"/>
    </w:pPr>
    <w:rPr>
      <w:lang w:val="fr-LU" w:eastAsia="fr-LU" w:bidi="ar-SA"/>
    </w:rPr>
  </w:style>
  <w:style w:type="paragraph" w:styleId="Notedebasdepage">
    <w:name w:val="footnote text"/>
    <w:basedOn w:val="Normal"/>
    <w:link w:val="NotedebasdepageCar"/>
    <w:semiHidden/>
    <w:unhideWhenUsed/>
    <w:rsid w:val="00526F86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26F86"/>
    <w:rPr>
      <w:lang w:val="fr-FR" w:eastAsia="en-US" w:bidi="en-US"/>
    </w:rPr>
  </w:style>
  <w:style w:type="character" w:styleId="Appelnotedebasdep">
    <w:name w:val="footnote reference"/>
    <w:basedOn w:val="Policepardfaut"/>
    <w:semiHidden/>
    <w:unhideWhenUsed/>
    <w:rsid w:val="00526F86"/>
    <w:rPr>
      <w:vertAlign w:val="superscript"/>
    </w:rPr>
  </w:style>
  <w:style w:type="paragraph" w:styleId="Textebrut">
    <w:name w:val="Plain Text"/>
    <w:basedOn w:val="Normal"/>
    <w:link w:val="TextebrutCar"/>
    <w:rsid w:val="00372A7C"/>
    <w:pPr>
      <w:jc w:val="both"/>
    </w:pPr>
    <w:rPr>
      <w:rFonts w:ascii="Courier New" w:hAnsi="Courier New"/>
      <w:sz w:val="20"/>
      <w:szCs w:val="20"/>
    </w:rPr>
  </w:style>
  <w:style w:type="character" w:customStyle="1" w:styleId="TextebrutCar">
    <w:name w:val="Texte brut Car"/>
    <w:basedOn w:val="Policepardfaut"/>
    <w:link w:val="Textebrut"/>
    <w:rsid w:val="00372A7C"/>
    <w:rPr>
      <w:rFonts w:ascii="Courier New" w:hAnsi="Courier New"/>
      <w:lang w:val="fr-FR" w:eastAsia="en-US" w:bidi="en-US"/>
    </w:rPr>
  </w:style>
  <w:style w:type="paragraph" w:styleId="En-tte">
    <w:name w:val="header"/>
    <w:basedOn w:val="Normal"/>
    <w:link w:val="En-tteCar"/>
    <w:uiPriority w:val="99"/>
    <w:semiHidden/>
    <w:unhideWhenUsed/>
    <w:rsid w:val="006145D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145D8"/>
    <w:rPr>
      <w:sz w:val="24"/>
      <w:szCs w:val="24"/>
      <w:lang w:val="fr-FR" w:eastAsia="en-US" w:bidi="en-US"/>
    </w:rPr>
  </w:style>
  <w:style w:type="paragraph" w:styleId="Pieddepage">
    <w:name w:val="footer"/>
    <w:basedOn w:val="Normal"/>
    <w:link w:val="PieddepageCar"/>
    <w:uiPriority w:val="99"/>
    <w:unhideWhenUsed/>
    <w:rsid w:val="006145D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145D8"/>
    <w:rPr>
      <w:sz w:val="24"/>
      <w:szCs w:val="24"/>
      <w:lang w:val="fr-FR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5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DP6105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6105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/sftpecos/Dossiers_parlementaires/6105/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CE9C66AB-18D4-4743-80CA-D2A389B47A7D}"/>
</file>

<file path=customXml/itemProps2.xml><?xml version="1.0" encoding="utf-8"?>
<ds:datastoreItem xmlns:ds="http://schemas.openxmlformats.org/officeDocument/2006/customXml" ds:itemID="{C46E9DA3-2C99-46B3-9A5D-980F84A5183E}"/>
</file>

<file path=customXml/itemProps3.xml><?xml version="1.0" encoding="utf-8"?>
<ds:datastoreItem xmlns:ds="http://schemas.openxmlformats.org/officeDocument/2006/customXml" ds:itemID="{A59A03EA-59F5-45FB-A4B4-8F6E39D0B9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1826</Characters>
  <Application>Microsoft Office Word</Application>
  <DocSecurity>4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CHD</dc:creator>
  <cp:keywords/>
  <cp:lastModifiedBy>SYSTEM</cp:lastModifiedBy>
  <cp:revision>2</cp:revision>
  <cp:lastPrinted>2010-06-03T15:08:00Z</cp:lastPrinted>
  <dcterms:created xsi:type="dcterms:W3CDTF">2024-02-21T07:45:00Z</dcterms:created>
  <dcterms:modified xsi:type="dcterms:W3CDTF">2024-02-21T07:45:00Z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