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DA6" w:rsidRPr="00026D8C" w:rsidRDefault="00560DA6" w:rsidP="00560DA6">
      <w:pPr>
        <w:ind w:right="187"/>
        <w:jc w:val="center"/>
        <w:rPr>
          <w:rFonts w:ascii="Times New Roman" w:hAnsi="Times New Roman"/>
          <w:i/>
          <w:sz w:val="32"/>
        </w:rPr>
      </w:pPr>
      <w:bookmarkStart w:id="0" w:name="_GoBack"/>
      <w:bookmarkEnd w:id="0"/>
      <w:r w:rsidRPr="00026D8C">
        <w:rPr>
          <w:rFonts w:ascii="Times New Roman" w:hAnsi="Times New Roman"/>
          <w:i/>
          <w:sz w:val="32"/>
        </w:rPr>
        <w:t>Résumé succinct</w:t>
      </w:r>
      <w:r>
        <w:rPr>
          <w:rFonts w:ascii="Times New Roman" w:hAnsi="Times New Roman"/>
          <w:i/>
          <w:sz w:val="32"/>
        </w:rPr>
        <w:t xml:space="preserve"> du rapport</w:t>
      </w:r>
    </w:p>
    <w:p w:rsidR="00560DA6" w:rsidRPr="00026D8C" w:rsidRDefault="00560DA6" w:rsidP="00560DA6">
      <w:pPr>
        <w:ind w:right="187"/>
        <w:jc w:val="both"/>
        <w:rPr>
          <w:rFonts w:ascii="Times New Roman" w:hAnsi="Times New Roman"/>
          <w:sz w:val="32"/>
        </w:rPr>
      </w:pPr>
    </w:p>
    <w:p w:rsidR="00560DA6" w:rsidRPr="00026D8C" w:rsidRDefault="00560DA6" w:rsidP="00560DA6">
      <w:pPr>
        <w:ind w:right="187"/>
        <w:jc w:val="center"/>
        <w:rPr>
          <w:rFonts w:ascii="Times New Roman" w:hAnsi="Times New Roman"/>
          <w:b/>
          <w:sz w:val="32"/>
        </w:rPr>
      </w:pPr>
      <w:r w:rsidRPr="00026D8C">
        <w:rPr>
          <w:rFonts w:ascii="Times New Roman" w:hAnsi="Times New Roman"/>
          <w:b/>
          <w:sz w:val="32"/>
        </w:rPr>
        <w:t>Un budget pour l’année charnière 2010</w:t>
      </w:r>
    </w:p>
    <w:p w:rsidR="00560DA6" w:rsidRDefault="00560DA6" w:rsidP="00560DA6">
      <w:pPr>
        <w:ind w:right="187"/>
        <w:jc w:val="both"/>
        <w:rPr>
          <w:rFonts w:ascii="Times New Roman" w:hAnsi="Times New Roman"/>
          <w:sz w:val="32"/>
        </w:rPr>
      </w:pPr>
    </w:p>
    <w:p w:rsidR="00560DA6" w:rsidRPr="00617FA8" w:rsidRDefault="00560DA6" w:rsidP="00560DA6">
      <w:pPr>
        <w:ind w:right="187"/>
        <w:jc w:val="both"/>
        <w:rPr>
          <w:rFonts w:ascii="Times New Roman" w:hAnsi="Times New Roman"/>
        </w:rPr>
      </w:pPr>
      <w:r w:rsidRPr="00617FA8">
        <w:rPr>
          <w:rFonts w:ascii="Times New Roman" w:hAnsi="Times New Roman"/>
        </w:rPr>
        <w:t xml:space="preserve">Le pays, son économie et sa communauté nationale se trouvent au seuil d’une année charnière, une année qui s’intercale entre une suite d’années fastes où la croissance économique atteignait plus de 4% en moyenne et un avenir </w:t>
      </w:r>
      <w:r>
        <w:rPr>
          <w:rFonts w:ascii="Times New Roman" w:hAnsi="Times New Roman"/>
        </w:rPr>
        <w:t xml:space="preserve">qui risque d’être </w:t>
      </w:r>
      <w:r w:rsidRPr="00617FA8">
        <w:rPr>
          <w:rFonts w:ascii="Times New Roman" w:hAnsi="Times New Roman"/>
        </w:rPr>
        <w:t>marqué par une croissance plus modeste et plus près de la moyenne internationale. Ce changement qui, loin de nous mener dans la détresse, risque tout de même de nous obliger à certaines adaptations qui devraient dès à présent trouver leur reflet dans la</w:t>
      </w:r>
      <w:r>
        <w:rPr>
          <w:rFonts w:ascii="Times New Roman" w:hAnsi="Times New Roman"/>
        </w:rPr>
        <w:t xml:space="preserve"> politique budgétaire de l’État, y inclus une plus grande rigueur budgétaire au travers d’une méthodologie améliorée.</w:t>
      </w:r>
    </w:p>
    <w:p w:rsidR="00560DA6" w:rsidRPr="00617FA8" w:rsidRDefault="00560DA6" w:rsidP="00560DA6">
      <w:pPr>
        <w:ind w:right="187"/>
        <w:jc w:val="both"/>
        <w:rPr>
          <w:rFonts w:ascii="Times New Roman" w:hAnsi="Times New Roman"/>
        </w:rPr>
      </w:pPr>
    </w:p>
    <w:p w:rsidR="00560DA6" w:rsidRPr="00617FA8" w:rsidRDefault="00560DA6" w:rsidP="00560DA6">
      <w:pPr>
        <w:ind w:right="187"/>
        <w:jc w:val="both"/>
        <w:rPr>
          <w:rFonts w:ascii="Times New Roman" w:hAnsi="Times New Roman"/>
        </w:rPr>
      </w:pPr>
      <w:r w:rsidRPr="00617FA8">
        <w:rPr>
          <w:rFonts w:ascii="Times New Roman" w:hAnsi="Times New Roman"/>
        </w:rPr>
        <w:t>Ce rapport ne pourra donc se limiter à une simple analyse du budget pour le prochain exercice. Son ambition est de décortiquer, au-delà du budget 2010, les risques qui guettent l’économie luxembourgeoise et ses diverses composantes, les moyens de les éviter et les opportunités à saisir pour assurer l’avenir également des générations suivantes.</w:t>
      </w:r>
    </w:p>
    <w:p w:rsidR="00560DA6" w:rsidRPr="00617FA8" w:rsidRDefault="00560DA6" w:rsidP="00560DA6">
      <w:pPr>
        <w:ind w:right="187"/>
        <w:jc w:val="both"/>
        <w:rPr>
          <w:rFonts w:ascii="Times New Roman" w:hAnsi="Times New Roman"/>
        </w:rPr>
      </w:pPr>
    </w:p>
    <w:p w:rsidR="00560DA6" w:rsidRPr="00617FA8" w:rsidRDefault="00560DA6" w:rsidP="00560DA6">
      <w:pPr>
        <w:pStyle w:val="Paragraphedeliste"/>
        <w:numPr>
          <w:ilvl w:val="0"/>
          <w:numId w:val="1"/>
        </w:numPr>
        <w:ind w:right="187"/>
        <w:jc w:val="both"/>
        <w:rPr>
          <w:rFonts w:ascii="Times New Roman" w:hAnsi="Times New Roman"/>
        </w:rPr>
      </w:pPr>
      <w:r w:rsidRPr="00617FA8">
        <w:rPr>
          <w:rFonts w:ascii="Times New Roman" w:hAnsi="Times New Roman"/>
        </w:rPr>
        <w:t xml:space="preserve">Pour le Luxembourg, la crise financière et économique mondiale se révèle être </w:t>
      </w:r>
      <w:r w:rsidRPr="006B2EC0">
        <w:rPr>
          <w:rFonts w:ascii="Times New Roman" w:hAnsi="Times New Roman"/>
          <w:b/>
          <w:i/>
        </w:rPr>
        <w:t>une crise à</w:t>
      </w:r>
      <w:r>
        <w:rPr>
          <w:rFonts w:ascii="Times New Roman" w:hAnsi="Times New Roman"/>
          <w:b/>
          <w:i/>
        </w:rPr>
        <w:t xml:space="preserve"> </w:t>
      </w:r>
      <w:r w:rsidRPr="006B2EC0">
        <w:rPr>
          <w:rFonts w:ascii="Times New Roman" w:hAnsi="Times New Roman"/>
          <w:b/>
          <w:i/>
        </w:rPr>
        <w:t>retardement</w:t>
      </w:r>
      <w:r w:rsidRPr="006B2EC0">
        <w:rPr>
          <w:rFonts w:ascii="Times New Roman" w:hAnsi="Times New Roman"/>
        </w:rPr>
        <w:t>.</w:t>
      </w:r>
      <w:r w:rsidRPr="00617FA8">
        <w:rPr>
          <w:rFonts w:ascii="Times New Roman" w:hAnsi="Times New Roman"/>
        </w:rPr>
        <w:t xml:space="preserve"> Ressentie comme telle </w:t>
      </w:r>
      <w:r>
        <w:rPr>
          <w:rFonts w:ascii="Times New Roman" w:hAnsi="Times New Roman"/>
        </w:rPr>
        <w:t>par</w:t>
      </w:r>
      <w:r w:rsidRPr="00617FA8">
        <w:rPr>
          <w:rFonts w:ascii="Times New Roman" w:hAnsi="Times New Roman"/>
        </w:rPr>
        <w:t xml:space="preserve"> ceux qui en souffrent directement, dont nombre de frontaliers, la crise n’est toujours pas arrivée dans les portemonnaies et à fortiori dans les têtes</w:t>
      </w:r>
      <w:r>
        <w:rPr>
          <w:rFonts w:ascii="Times New Roman" w:hAnsi="Times New Roman"/>
        </w:rPr>
        <w:t xml:space="preserve"> d’une majorité des concitoyens</w:t>
      </w:r>
      <w:r w:rsidRPr="00617FA8">
        <w:rPr>
          <w:rFonts w:ascii="Times New Roman" w:hAnsi="Times New Roman"/>
        </w:rPr>
        <w:t xml:space="preserve">. Les chiffres sont pourtant là pour prouver que le Grand-Duché n’a pas été épargné. Les premiers à s’en ressentir sont les entreprises obligées </w:t>
      </w:r>
      <w:r>
        <w:rPr>
          <w:rFonts w:ascii="Times New Roman" w:hAnsi="Times New Roman"/>
        </w:rPr>
        <w:t>à des</w:t>
      </w:r>
      <w:r w:rsidRPr="00617FA8">
        <w:rPr>
          <w:rFonts w:ascii="Times New Roman" w:hAnsi="Times New Roman"/>
        </w:rPr>
        <w:t xml:space="preserve"> coupes sombres dans leurs frais de fonctionnement. </w:t>
      </w:r>
      <w:r>
        <w:rPr>
          <w:rFonts w:ascii="Times New Roman" w:hAnsi="Times New Roman"/>
        </w:rPr>
        <w:t>Les</w:t>
      </w:r>
      <w:r w:rsidRPr="00617FA8">
        <w:rPr>
          <w:rFonts w:ascii="Times New Roman" w:hAnsi="Times New Roman"/>
        </w:rPr>
        <w:t xml:space="preserve"> victime</w:t>
      </w:r>
      <w:r>
        <w:rPr>
          <w:rFonts w:ascii="Times New Roman" w:hAnsi="Times New Roman"/>
        </w:rPr>
        <w:t>s de ces mesures sont évidemment les salariés frappés de chômage partiel, voire de licenciements. L’autre victime c</w:t>
      </w:r>
      <w:r w:rsidRPr="00617FA8">
        <w:rPr>
          <w:rFonts w:ascii="Times New Roman" w:hAnsi="Times New Roman"/>
        </w:rPr>
        <w:t>’est l’État qui se trouve confronté</w:t>
      </w:r>
      <w:r>
        <w:rPr>
          <w:rFonts w:ascii="Times New Roman" w:hAnsi="Times New Roman"/>
        </w:rPr>
        <w:t>,</w:t>
      </w:r>
      <w:r w:rsidRPr="00617FA8">
        <w:rPr>
          <w:rFonts w:ascii="Times New Roman" w:hAnsi="Times New Roman"/>
        </w:rPr>
        <w:t xml:space="preserve"> pour </w:t>
      </w:r>
      <w:r>
        <w:rPr>
          <w:rFonts w:ascii="Times New Roman" w:hAnsi="Times New Roman"/>
        </w:rPr>
        <w:t>l</w:t>
      </w:r>
      <w:r w:rsidRPr="00617FA8">
        <w:rPr>
          <w:rFonts w:ascii="Times New Roman" w:hAnsi="Times New Roman"/>
        </w:rPr>
        <w:t>a première fois depuis longtemps</w:t>
      </w:r>
      <w:r>
        <w:rPr>
          <w:rFonts w:ascii="Times New Roman" w:hAnsi="Times New Roman"/>
        </w:rPr>
        <w:t>,</w:t>
      </w:r>
      <w:r w:rsidRPr="00617FA8">
        <w:rPr>
          <w:rFonts w:ascii="Times New Roman" w:hAnsi="Times New Roman"/>
        </w:rPr>
        <w:t xml:space="preserve"> à un déficit budgétaire notable et </w:t>
      </w:r>
      <w:r>
        <w:rPr>
          <w:rFonts w:ascii="Times New Roman" w:hAnsi="Times New Roman"/>
        </w:rPr>
        <w:t xml:space="preserve">à </w:t>
      </w:r>
      <w:r w:rsidRPr="00617FA8">
        <w:rPr>
          <w:rFonts w:ascii="Times New Roman" w:hAnsi="Times New Roman"/>
        </w:rPr>
        <w:t>des réserves qui s’épuisent rapidement.</w:t>
      </w:r>
    </w:p>
    <w:p w:rsidR="00560DA6" w:rsidRPr="00617FA8" w:rsidRDefault="00560DA6" w:rsidP="00560DA6">
      <w:pPr>
        <w:ind w:right="187"/>
        <w:jc w:val="both"/>
        <w:rPr>
          <w:rFonts w:ascii="Times New Roman" w:hAnsi="Times New Roman"/>
        </w:rPr>
      </w:pPr>
    </w:p>
    <w:p w:rsidR="00560DA6" w:rsidRPr="00A8038E" w:rsidRDefault="00560DA6" w:rsidP="00560DA6">
      <w:pPr>
        <w:pStyle w:val="Paragraphedeliste"/>
        <w:numPr>
          <w:ilvl w:val="0"/>
          <w:numId w:val="1"/>
        </w:numPr>
        <w:ind w:right="187"/>
        <w:jc w:val="both"/>
        <w:rPr>
          <w:rFonts w:ascii="Times New Roman" w:hAnsi="Times New Roman"/>
        </w:rPr>
      </w:pPr>
      <w:r w:rsidRPr="00617FA8">
        <w:rPr>
          <w:rFonts w:ascii="Times New Roman" w:hAnsi="Times New Roman"/>
        </w:rPr>
        <w:t xml:space="preserve">Comme la crise a été déclenchée par le </w:t>
      </w:r>
      <w:r>
        <w:rPr>
          <w:rFonts w:ascii="Times New Roman" w:hAnsi="Times New Roman"/>
        </w:rPr>
        <w:t>monde</w:t>
      </w:r>
      <w:r w:rsidRPr="00617FA8">
        <w:rPr>
          <w:rFonts w:ascii="Times New Roman" w:hAnsi="Times New Roman"/>
        </w:rPr>
        <w:t xml:space="preserve"> financier avant de </w:t>
      </w:r>
      <w:r>
        <w:rPr>
          <w:rFonts w:ascii="Times New Roman" w:hAnsi="Times New Roman"/>
        </w:rPr>
        <w:t xml:space="preserve">devenir une </w:t>
      </w:r>
      <w:r w:rsidRPr="00617FA8">
        <w:rPr>
          <w:rFonts w:ascii="Times New Roman" w:hAnsi="Times New Roman"/>
        </w:rPr>
        <w:t xml:space="preserve"> crise écon</w:t>
      </w:r>
      <w:r>
        <w:rPr>
          <w:rFonts w:ascii="Times New Roman" w:hAnsi="Times New Roman"/>
        </w:rPr>
        <w:t>omique, elle s’est forcément</w:t>
      </w:r>
      <w:r w:rsidRPr="00617FA8">
        <w:rPr>
          <w:rFonts w:ascii="Times New Roman" w:hAnsi="Times New Roman"/>
        </w:rPr>
        <w:t xml:space="preserve"> répercutée sur </w:t>
      </w:r>
      <w:r w:rsidRPr="006B2EC0">
        <w:rPr>
          <w:rFonts w:ascii="Times New Roman" w:hAnsi="Times New Roman"/>
          <w:b/>
          <w:i/>
        </w:rPr>
        <w:t>la place financière de Luxembourg</w:t>
      </w:r>
      <w:r w:rsidRPr="006B2EC0">
        <w:rPr>
          <w:rFonts w:ascii="Times New Roman" w:hAnsi="Times New Roman"/>
        </w:rPr>
        <w:t xml:space="preserve">. </w:t>
      </w:r>
      <w:r w:rsidRPr="00617FA8">
        <w:rPr>
          <w:rFonts w:ascii="Times New Roman" w:hAnsi="Times New Roman"/>
        </w:rPr>
        <w:t>Ses piliers principaux, la banque privée et l’administration des fonds d’investissement, ont été affectés dans un</w:t>
      </w:r>
      <w:r>
        <w:rPr>
          <w:rFonts w:ascii="Times New Roman" w:hAnsi="Times New Roman"/>
        </w:rPr>
        <w:t>e</w:t>
      </w:r>
      <w:r w:rsidRPr="00617FA8">
        <w:rPr>
          <w:rFonts w:ascii="Times New Roman" w:hAnsi="Times New Roman"/>
        </w:rPr>
        <w:t xml:space="preserve"> mesure telle, que les revenus ont baissé notablement, que le nombre de banques est en diminution et l’emploi en régression. Bien que les résultats pour l’année 2009 ne s’annoncen</w:t>
      </w:r>
      <w:r>
        <w:rPr>
          <w:rFonts w:ascii="Times New Roman" w:hAnsi="Times New Roman"/>
        </w:rPr>
        <w:t>t pas trop mauvais, les menaces que la politique européenne fait planer sur l’</w:t>
      </w:r>
      <w:r w:rsidRPr="00617FA8">
        <w:rPr>
          <w:rFonts w:ascii="Times New Roman" w:hAnsi="Times New Roman"/>
        </w:rPr>
        <w:t>avenir</w:t>
      </w:r>
      <w:r>
        <w:rPr>
          <w:rFonts w:ascii="Times New Roman" w:hAnsi="Times New Roman"/>
        </w:rPr>
        <w:t xml:space="preserve"> de la place</w:t>
      </w:r>
      <w:r w:rsidRPr="00617FA8">
        <w:rPr>
          <w:rFonts w:ascii="Times New Roman" w:hAnsi="Times New Roman"/>
        </w:rPr>
        <w:t xml:space="preserve"> comme centre de gestion patrimoniale font ressortir les dangers inhérents au quasi monolithisme de l’économie </w:t>
      </w:r>
      <w:r w:rsidRPr="00A8038E">
        <w:rPr>
          <w:rFonts w:ascii="Times New Roman" w:hAnsi="Times New Roman"/>
        </w:rPr>
        <w:t>luxembourgeoise</w:t>
      </w:r>
      <w:r>
        <w:rPr>
          <w:rFonts w:ascii="Times New Roman" w:hAnsi="Times New Roman"/>
        </w:rPr>
        <w:t>,</w:t>
      </w:r>
      <w:r w:rsidRPr="00A8038E">
        <w:rPr>
          <w:rFonts w:ascii="Times New Roman" w:hAnsi="Times New Roman"/>
        </w:rPr>
        <w:t xml:space="preserve"> trop dépendant</w:t>
      </w:r>
      <w:r>
        <w:rPr>
          <w:rFonts w:ascii="Times New Roman" w:hAnsi="Times New Roman"/>
        </w:rPr>
        <w:t>e</w:t>
      </w:r>
      <w:r w:rsidRPr="00A8038E">
        <w:rPr>
          <w:rFonts w:ascii="Times New Roman" w:hAnsi="Times New Roman"/>
        </w:rPr>
        <w:t xml:space="preserve"> du seul secteur financier. </w:t>
      </w:r>
    </w:p>
    <w:p w:rsidR="00560DA6" w:rsidRPr="00617FA8" w:rsidRDefault="00560DA6" w:rsidP="00560DA6">
      <w:pPr>
        <w:ind w:right="187"/>
        <w:jc w:val="both"/>
        <w:rPr>
          <w:rFonts w:ascii="Times New Roman" w:hAnsi="Times New Roman"/>
        </w:rPr>
      </w:pPr>
    </w:p>
    <w:p w:rsidR="00560DA6" w:rsidRPr="00617FA8" w:rsidRDefault="00560DA6" w:rsidP="00560DA6">
      <w:pPr>
        <w:pStyle w:val="Paragraphedeliste"/>
        <w:numPr>
          <w:ilvl w:val="0"/>
          <w:numId w:val="1"/>
        </w:numPr>
        <w:ind w:right="187"/>
        <w:jc w:val="both"/>
        <w:rPr>
          <w:rFonts w:ascii="Times New Roman" w:hAnsi="Times New Roman"/>
        </w:rPr>
      </w:pPr>
      <w:r w:rsidRPr="00617FA8">
        <w:rPr>
          <w:rFonts w:ascii="Times New Roman" w:hAnsi="Times New Roman"/>
        </w:rPr>
        <w:t xml:space="preserve">Confrontée à un </w:t>
      </w:r>
      <w:r w:rsidRPr="006B2EC0">
        <w:rPr>
          <w:rFonts w:ascii="Times New Roman" w:hAnsi="Times New Roman"/>
          <w:b/>
          <w:i/>
        </w:rPr>
        <w:t xml:space="preserve">déséquilibre budgétaire </w:t>
      </w:r>
      <w:r w:rsidRPr="004D55BC">
        <w:rPr>
          <w:rFonts w:ascii="Times New Roman" w:hAnsi="Times New Roman"/>
        </w:rPr>
        <w:t xml:space="preserve">inhabituel </w:t>
      </w:r>
      <w:r w:rsidRPr="00617FA8">
        <w:rPr>
          <w:rFonts w:ascii="Times New Roman" w:hAnsi="Times New Roman"/>
        </w:rPr>
        <w:t xml:space="preserve">et à des perspectives de croissance bien inférieures aux performances du quart de siècle passé, le Gouvernement </w:t>
      </w:r>
      <w:r>
        <w:rPr>
          <w:rFonts w:ascii="Times New Roman" w:hAnsi="Times New Roman"/>
        </w:rPr>
        <w:t xml:space="preserve">n’aura pas de choix : il </w:t>
      </w:r>
      <w:r w:rsidRPr="00617FA8">
        <w:rPr>
          <w:rFonts w:ascii="Times New Roman" w:hAnsi="Times New Roman"/>
        </w:rPr>
        <w:t>doit</w:t>
      </w:r>
      <w:r>
        <w:rPr>
          <w:rFonts w:ascii="Times New Roman" w:hAnsi="Times New Roman"/>
        </w:rPr>
        <w:t xml:space="preserve"> continuer la politique anticyclique jusqu’à fin 2010 et profiter de cette année pour définir un cadre de redressement pluriannuel. </w:t>
      </w:r>
      <w:r w:rsidRPr="00A8038E">
        <w:rPr>
          <w:rFonts w:ascii="Times New Roman" w:hAnsi="Times New Roman"/>
        </w:rPr>
        <w:t>Vu le besoin urgent de freiner le rythme des dépenses afin d’éviter que l’État ne sombre dans un endettement difficile à maîtriser par la suite</w:t>
      </w:r>
      <w:r>
        <w:rPr>
          <w:rFonts w:ascii="Times New Roman" w:hAnsi="Times New Roman"/>
        </w:rPr>
        <w:t>, l</w:t>
      </w:r>
      <w:r w:rsidRPr="00617FA8">
        <w:rPr>
          <w:rFonts w:ascii="Times New Roman" w:hAnsi="Times New Roman"/>
        </w:rPr>
        <w:t>e virage devra être pris au plus tard avec le budget 2011 ce qui exige</w:t>
      </w:r>
      <w:r>
        <w:rPr>
          <w:rFonts w:ascii="Times New Roman" w:hAnsi="Times New Roman"/>
        </w:rPr>
        <w:t>ra des préparations intensives</w:t>
      </w:r>
      <w:r w:rsidRPr="00617FA8">
        <w:rPr>
          <w:rFonts w:ascii="Times New Roman" w:hAnsi="Times New Roman"/>
        </w:rPr>
        <w:t xml:space="preserve"> dès le début de l’année prochaine.</w:t>
      </w:r>
    </w:p>
    <w:p w:rsidR="00560DA6" w:rsidRPr="00617FA8" w:rsidRDefault="00560DA6" w:rsidP="00560DA6">
      <w:pPr>
        <w:ind w:right="187"/>
        <w:jc w:val="both"/>
        <w:rPr>
          <w:rFonts w:ascii="Times New Roman" w:hAnsi="Times New Roman"/>
        </w:rPr>
      </w:pPr>
    </w:p>
    <w:p w:rsidR="00560DA6" w:rsidRPr="00617FA8" w:rsidRDefault="00560DA6" w:rsidP="00560DA6">
      <w:pPr>
        <w:pStyle w:val="Paragraphedeliste"/>
        <w:numPr>
          <w:ilvl w:val="0"/>
          <w:numId w:val="1"/>
        </w:numPr>
        <w:ind w:right="187"/>
        <w:jc w:val="both"/>
        <w:rPr>
          <w:rFonts w:ascii="Times New Roman" w:hAnsi="Times New Roman"/>
        </w:rPr>
      </w:pPr>
      <w:r w:rsidRPr="00617FA8">
        <w:rPr>
          <w:rFonts w:ascii="Times New Roman" w:hAnsi="Times New Roman"/>
        </w:rPr>
        <w:lastRenderedPageBreak/>
        <w:t xml:space="preserve">Comme toute crise conjoncturelle, celle que nous vivons pour l’instant va passer. Mais il ne faut pas sous-estimer la crise structurelle à laquelle le Grand-Duché risque de se voir exposé, </w:t>
      </w:r>
      <w:r>
        <w:rPr>
          <w:rFonts w:ascii="Times New Roman" w:hAnsi="Times New Roman"/>
        </w:rPr>
        <w:t xml:space="preserve">une </w:t>
      </w:r>
      <w:r w:rsidRPr="006B2EC0">
        <w:rPr>
          <w:rFonts w:ascii="Times New Roman" w:hAnsi="Times New Roman"/>
          <w:b/>
          <w:i/>
        </w:rPr>
        <w:t>crise derrière la crise</w:t>
      </w:r>
      <w:r>
        <w:rPr>
          <w:rFonts w:ascii="Times New Roman" w:hAnsi="Times New Roman"/>
          <w:b/>
          <w:i/>
        </w:rPr>
        <w:t xml:space="preserve"> </w:t>
      </w:r>
      <w:r>
        <w:rPr>
          <w:rFonts w:ascii="Times New Roman" w:hAnsi="Times New Roman"/>
        </w:rPr>
        <w:t xml:space="preserve">qui se dégage </w:t>
      </w:r>
      <w:r w:rsidRPr="00617FA8">
        <w:rPr>
          <w:rFonts w:ascii="Times New Roman" w:hAnsi="Times New Roman"/>
        </w:rPr>
        <w:t>des déficiences structurelles de l’économie nationale</w:t>
      </w:r>
      <w:r>
        <w:rPr>
          <w:rFonts w:ascii="Times New Roman" w:hAnsi="Times New Roman"/>
        </w:rPr>
        <w:t xml:space="preserve">, </w:t>
      </w:r>
      <w:r w:rsidRPr="00617FA8">
        <w:rPr>
          <w:rFonts w:ascii="Times New Roman" w:hAnsi="Times New Roman"/>
        </w:rPr>
        <w:t>déficiences cachées par le niveau de vie plus que confortable dont nous ont gratifié les années fastes. La vérité primaire selon laquelle il faut d’abord gagner l’argent avant de pouvoir le dépenser par après reste d’actualité, aussi et surtout pour un petit pays aux ressources limitées.</w:t>
      </w:r>
    </w:p>
    <w:p w:rsidR="00560DA6" w:rsidRPr="00617FA8" w:rsidRDefault="00560DA6" w:rsidP="00560DA6">
      <w:pPr>
        <w:ind w:right="187"/>
        <w:jc w:val="both"/>
        <w:rPr>
          <w:rFonts w:ascii="Times New Roman" w:hAnsi="Times New Roman"/>
        </w:rPr>
      </w:pPr>
    </w:p>
    <w:p w:rsidR="00560DA6" w:rsidRPr="00617FA8" w:rsidRDefault="00560DA6" w:rsidP="00560DA6">
      <w:pPr>
        <w:pStyle w:val="Paragraphedeliste"/>
        <w:numPr>
          <w:ilvl w:val="0"/>
          <w:numId w:val="1"/>
        </w:numPr>
        <w:ind w:right="187"/>
        <w:jc w:val="both"/>
        <w:rPr>
          <w:rFonts w:ascii="Times New Roman" w:hAnsi="Times New Roman"/>
        </w:rPr>
      </w:pPr>
      <w:r w:rsidRPr="00617FA8">
        <w:rPr>
          <w:rFonts w:ascii="Times New Roman" w:hAnsi="Times New Roman"/>
        </w:rPr>
        <w:t xml:space="preserve">Aussi faudrait-il éviter le piège, ô combien tentant </w:t>
      </w:r>
      <w:r w:rsidRPr="006B2EC0">
        <w:rPr>
          <w:rFonts w:ascii="Times New Roman" w:hAnsi="Times New Roman"/>
          <w:b/>
          <w:i/>
        </w:rPr>
        <w:t>d’un endettement</w:t>
      </w:r>
      <w:r w:rsidRPr="00617FA8">
        <w:rPr>
          <w:rFonts w:ascii="Times New Roman" w:hAnsi="Times New Roman"/>
        </w:rPr>
        <w:t xml:space="preserve"> grâce auquel on </w:t>
      </w:r>
      <w:r w:rsidRPr="00A8038E">
        <w:rPr>
          <w:rFonts w:ascii="Times New Roman" w:hAnsi="Times New Roman"/>
        </w:rPr>
        <w:t>espérerait échapper</w:t>
      </w:r>
      <w:r w:rsidRPr="00617FA8">
        <w:rPr>
          <w:rFonts w:ascii="Times New Roman" w:hAnsi="Times New Roman"/>
        </w:rPr>
        <w:t xml:space="preserve"> aux adaptations qui s’imposent. Un endettement substantiel rien que pour maintenir un niveau de vie devenu intenable avec un rythme de croissance réduit, relèverait de l’irresponsabilité vis-à-vis des générations montantes. En fait, nos enfants et petits-enfants auront à subir non seulement la charge de la dette accumulée par leurs prédécesseurs, mais encore la tare autrement lourde que représentera la charge des pensions, qui, à défaut d’une réforme fondamentale, s’alourdira de façon exponentielle. </w:t>
      </w:r>
    </w:p>
    <w:p w:rsidR="00560DA6" w:rsidRPr="00617FA8" w:rsidRDefault="00560DA6" w:rsidP="00560DA6">
      <w:pPr>
        <w:ind w:right="187"/>
        <w:jc w:val="both"/>
        <w:rPr>
          <w:rFonts w:ascii="Times New Roman" w:hAnsi="Times New Roman"/>
        </w:rPr>
      </w:pPr>
    </w:p>
    <w:p w:rsidR="00560DA6" w:rsidRPr="00617FA8" w:rsidRDefault="00560DA6" w:rsidP="00560DA6">
      <w:pPr>
        <w:pStyle w:val="Paragraphedeliste"/>
        <w:numPr>
          <w:ilvl w:val="0"/>
          <w:numId w:val="1"/>
        </w:numPr>
        <w:ind w:right="187"/>
        <w:jc w:val="both"/>
        <w:rPr>
          <w:rFonts w:ascii="Times New Roman" w:hAnsi="Times New Roman"/>
        </w:rPr>
      </w:pPr>
      <w:r w:rsidRPr="00617FA8">
        <w:rPr>
          <w:rFonts w:ascii="Times New Roman" w:hAnsi="Times New Roman"/>
        </w:rPr>
        <w:t>Après tout, l’avenir de notre économie sera celui que nous lui aurons préparé nous mêmes. Aussi les responsables politiques n’écha</w:t>
      </w:r>
      <w:r>
        <w:rPr>
          <w:rFonts w:ascii="Times New Roman" w:hAnsi="Times New Roman"/>
        </w:rPr>
        <w:t xml:space="preserve">pperont-ils pas au devoir de </w:t>
      </w:r>
      <w:r w:rsidRPr="00617FA8">
        <w:rPr>
          <w:rFonts w:ascii="Times New Roman" w:hAnsi="Times New Roman"/>
        </w:rPr>
        <w:t xml:space="preserve">poursuivre le double objectif de </w:t>
      </w:r>
      <w:r w:rsidRPr="006B2EC0">
        <w:rPr>
          <w:rFonts w:ascii="Times New Roman" w:hAnsi="Times New Roman"/>
          <w:b/>
          <w:i/>
        </w:rPr>
        <w:t>consolider la place financière et de diversifier l’économie nationale</w:t>
      </w:r>
      <w:r w:rsidRPr="006B2EC0">
        <w:rPr>
          <w:rFonts w:ascii="Times New Roman" w:hAnsi="Times New Roman"/>
        </w:rPr>
        <w:t>,</w:t>
      </w:r>
      <w:r w:rsidRPr="00617FA8">
        <w:rPr>
          <w:rFonts w:ascii="Times New Roman" w:hAnsi="Times New Roman"/>
        </w:rPr>
        <w:t xml:space="preserve"> mission certes plus permanente que révolutionnaire, mais devenue incontournable suite à la mutation dans laquelle notre communauté nationale se trouve engagée.</w:t>
      </w:r>
      <w:r>
        <w:rPr>
          <w:rFonts w:ascii="Times New Roman" w:hAnsi="Times New Roman"/>
        </w:rPr>
        <w:t xml:space="preserve"> Encore faut-il que le gouvernement se dote des moyens nécessaires pour atteindre cet objectif.</w:t>
      </w:r>
    </w:p>
    <w:p w:rsidR="00560DA6" w:rsidRPr="00617FA8" w:rsidRDefault="00560DA6" w:rsidP="00560DA6">
      <w:pPr>
        <w:ind w:right="187"/>
        <w:jc w:val="both"/>
        <w:rPr>
          <w:rFonts w:ascii="Times New Roman" w:hAnsi="Times New Roman"/>
        </w:rPr>
      </w:pPr>
    </w:p>
    <w:p w:rsidR="00560DA6" w:rsidRPr="00617FA8" w:rsidRDefault="00560DA6" w:rsidP="00560DA6">
      <w:pPr>
        <w:pStyle w:val="Paragraphedeliste"/>
        <w:numPr>
          <w:ilvl w:val="0"/>
          <w:numId w:val="1"/>
        </w:numPr>
        <w:ind w:right="187"/>
        <w:jc w:val="both"/>
        <w:rPr>
          <w:rFonts w:ascii="Times New Roman" w:hAnsi="Times New Roman"/>
        </w:rPr>
      </w:pPr>
      <w:r w:rsidRPr="00617FA8">
        <w:rPr>
          <w:rFonts w:ascii="Times New Roman" w:hAnsi="Times New Roman"/>
        </w:rPr>
        <w:t xml:space="preserve">Au-delà des considérations rivées sur le développement de l’outil de production national, le Luxembourg a un intérêt certain à s’impliquer dans les travaux visant à mettre en place un nouveau concept de la croissance. Dorénavant le PIB ne se mesurera plus au travers du seul critère matériel qu’est l’évolution économique, mais tiendra compte, dans une mesure égale, des aspects environnementaux et sociaux. Ce </w:t>
      </w:r>
      <w:proofErr w:type="spellStart"/>
      <w:r w:rsidRPr="006B2EC0">
        <w:rPr>
          <w:rFonts w:ascii="Times New Roman" w:hAnsi="Times New Roman"/>
          <w:b/>
          <w:i/>
        </w:rPr>
        <w:t>tryptique</w:t>
      </w:r>
      <w:proofErr w:type="spellEnd"/>
      <w:r w:rsidRPr="006B2EC0">
        <w:rPr>
          <w:rFonts w:ascii="Times New Roman" w:hAnsi="Times New Roman"/>
          <w:b/>
          <w:i/>
        </w:rPr>
        <w:t xml:space="preserve"> de la croissance</w:t>
      </w:r>
      <w:r>
        <w:rPr>
          <w:rFonts w:ascii="Times New Roman" w:hAnsi="Times New Roman"/>
          <w:b/>
          <w:i/>
        </w:rPr>
        <w:t xml:space="preserve"> </w:t>
      </w:r>
      <w:r w:rsidRPr="00617FA8">
        <w:rPr>
          <w:rFonts w:ascii="Times New Roman" w:hAnsi="Times New Roman"/>
        </w:rPr>
        <w:t>trouvera son application dans le concept du PIB du bien-être, dont les fondements sont en voie d’élaboration à l’échelle internationale. Ce nouveau modèle de croissance répondra de façon idéale aux aspiration</w:t>
      </w:r>
      <w:r>
        <w:rPr>
          <w:rFonts w:ascii="Times New Roman" w:hAnsi="Times New Roman"/>
        </w:rPr>
        <w:t>s</w:t>
      </w:r>
      <w:r w:rsidRPr="00617FA8">
        <w:rPr>
          <w:rFonts w:ascii="Times New Roman" w:hAnsi="Times New Roman"/>
        </w:rPr>
        <w:t xml:space="preserve"> de notre communauté nationale qui, depuis toujours, sont focalisées sur  </w:t>
      </w:r>
      <w:r>
        <w:rPr>
          <w:rFonts w:ascii="Times New Roman" w:hAnsi="Times New Roman"/>
        </w:rPr>
        <w:t>la condition humaine, mettant l’homme au centre de toutes les préoccupations.</w:t>
      </w:r>
    </w:p>
    <w:p w:rsidR="004D43C4" w:rsidRDefault="004D43C4"/>
    <w:sectPr w:rsidR="004D43C4" w:rsidSect="004D43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60AFD"/>
    <w:multiLevelType w:val="hybridMultilevel"/>
    <w:tmpl w:val="62585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DA6"/>
    <w:rsid w:val="002D58DB"/>
    <w:rsid w:val="004D43C4"/>
    <w:rsid w:val="00560DA6"/>
    <w:rsid w:val="00BC2BB0"/>
    <w:rsid w:val="00C17D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58082A-BF38-4563-8357-3F2D8F80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DA6"/>
    <w:rPr>
      <w:rFonts w:ascii="Cambria" w:eastAsia="Cambria" w:hAnsi="Cambria"/>
      <w:sz w:val="24"/>
      <w:szCs w:val="24"/>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0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DP6100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6100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/sftpecos/Dossiers_parlementaires/6100/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63ABB8D-38C2-4301-92F8-CA939047E5D1}"/>
</file>

<file path=customXml/itemProps2.xml><?xml version="1.0" encoding="utf-8"?>
<ds:datastoreItem xmlns:ds="http://schemas.openxmlformats.org/officeDocument/2006/customXml" ds:itemID="{EF21F1F9-7527-4FDB-8A32-CA10A82C902E}"/>
</file>

<file path=customXml/itemProps3.xml><?xml version="1.0" encoding="utf-8"?>
<ds:datastoreItem xmlns:ds="http://schemas.openxmlformats.org/officeDocument/2006/customXml" ds:itemID="{EAD3937D-E10E-49C2-9C64-2AC6E6BE3B29}"/>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4794</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