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DBC" w:rsidRPr="009B39EB" w:rsidRDefault="00592DBC" w:rsidP="00592DBC">
      <w:pPr>
        <w:jc w:val="center"/>
        <w:rPr>
          <w:rFonts w:ascii="Arial" w:hAnsi="Arial" w:cs="Arial"/>
          <w:b/>
          <w:sz w:val="28"/>
          <w:szCs w:val="28"/>
        </w:rPr>
      </w:pPr>
      <w:bookmarkStart w:id="0" w:name="_GoBack"/>
      <w:bookmarkEnd w:id="0"/>
      <w:r w:rsidRPr="009B39EB">
        <w:rPr>
          <w:rFonts w:ascii="Arial" w:hAnsi="Arial" w:cs="Arial"/>
          <w:b/>
          <w:sz w:val="28"/>
          <w:szCs w:val="28"/>
        </w:rPr>
        <w:t xml:space="preserve">N° </w:t>
      </w:r>
      <w:r w:rsidR="00FC2DFF" w:rsidRPr="009B39EB">
        <w:rPr>
          <w:rFonts w:ascii="Arial" w:hAnsi="Arial" w:cs="Arial"/>
          <w:b/>
          <w:sz w:val="28"/>
          <w:szCs w:val="28"/>
        </w:rPr>
        <w:t>6074</w:t>
      </w:r>
    </w:p>
    <w:p w:rsidR="009B39EB" w:rsidRPr="009B39EB" w:rsidRDefault="009B39EB" w:rsidP="006C0DA4">
      <w:pPr>
        <w:jc w:val="center"/>
        <w:rPr>
          <w:rFonts w:ascii="Arial" w:hAnsi="Arial" w:cs="Arial"/>
          <w:b/>
        </w:rPr>
      </w:pPr>
    </w:p>
    <w:p w:rsidR="009B39EB" w:rsidRPr="009B39EB" w:rsidRDefault="009B39EB" w:rsidP="009B39EB">
      <w:pPr>
        <w:autoSpaceDE w:val="0"/>
        <w:autoSpaceDN w:val="0"/>
        <w:adjustRightInd w:val="0"/>
        <w:jc w:val="center"/>
        <w:rPr>
          <w:rFonts w:ascii="Arial" w:hAnsi="Arial" w:cs="Arial"/>
          <w:b/>
          <w:bCs/>
          <w:sz w:val="28"/>
          <w:szCs w:val="28"/>
        </w:rPr>
      </w:pPr>
      <w:r w:rsidRPr="009B39EB">
        <w:rPr>
          <w:rFonts w:ascii="Arial" w:hAnsi="Arial" w:cs="Arial"/>
          <w:b/>
          <w:bCs/>
          <w:sz w:val="28"/>
          <w:szCs w:val="28"/>
        </w:rPr>
        <w:t>Projet de loi</w:t>
      </w:r>
    </w:p>
    <w:p w:rsidR="009B39EB" w:rsidRPr="009B39EB" w:rsidRDefault="009B39EB" w:rsidP="009B39EB">
      <w:pPr>
        <w:autoSpaceDE w:val="0"/>
        <w:autoSpaceDN w:val="0"/>
        <w:adjustRightInd w:val="0"/>
        <w:jc w:val="center"/>
        <w:outlineLvl w:val="0"/>
        <w:rPr>
          <w:rFonts w:ascii="Arial" w:hAnsi="Arial" w:cs="Arial"/>
          <w:b/>
          <w:bCs/>
          <w:spacing w:val="76"/>
          <w:sz w:val="28"/>
          <w:szCs w:val="28"/>
        </w:rPr>
      </w:pPr>
    </w:p>
    <w:p w:rsidR="009B39EB" w:rsidRPr="009B39EB" w:rsidRDefault="009B39EB" w:rsidP="009B39EB">
      <w:pPr>
        <w:autoSpaceDE w:val="0"/>
        <w:autoSpaceDN w:val="0"/>
        <w:adjustRightInd w:val="0"/>
        <w:jc w:val="center"/>
        <w:rPr>
          <w:rFonts w:ascii="Arial" w:hAnsi="Arial" w:cs="Arial"/>
          <w:b/>
          <w:bCs/>
          <w:sz w:val="28"/>
          <w:szCs w:val="28"/>
          <w:lang w:val="fr-LU" w:eastAsia="fr-LU"/>
        </w:rPr>
      </w:pPr>
      <w:r w:rsidRPr="009B39EB">
        <w:rPr>
          <w:rFonts w:ascii="Arial" w:hAnsi="Arial" w:cs="Arial"/>
          <w:b/>
          <w:bCs/>
          <w:sz w:val="28"/>
          <w:szCs w:val="28"/>
          <w:lang w:val="fr-LU" w:eastAsia="fr-LU"/>
        </w:rPr>
        <w:t>portant modification de l’article 127 du Code d’instruction</w:t>
      </w:r>
    </w:p>
    <w:p w:rsidR="009B39EB" w:rsidRPr="009B39EB" w:rsidRDefault="009B39EB" w:rsidP="009B39EB">
      <w:pPr>
        <w:autoSpaceDE w:val="0"/>
        <w:autoSpaceDN w:val="0"/>
        <w:adjustRightInd w:val="0"/>
        <w:jc w:val="center"/>
        <w:rPr>
          <w:rFonts w:ascii="Arial" w:hAnsi="Arial" w:cs="Arial"/>
          <w:b/>
          <w:bCs/>
          <w:sz w:val="28"/>
          <w:szCs w:val="28"/>
          <w:lang w:val="fr-LU" w:eastAsia="fr-LU"/>
        </w:rPr>
      </w:pPr>
      <w:r w:rsidRPr="009B39EB">
        <w:rPr>
          <w:rFonts w:ascii="Arial" w:hAnsi="Arial" w:cs="Arial"/>
          <w:b/>
          <w:bCs/>
          <w:sz w:val="28"/>
          <w:szCs w:val="28"/>
          <w:lang w:val="fr-LU" w:eastAsia="fr-LU"/>
        </w:rPr>
        <w:t>criminelle</w:t>
      </w:r>
    </w:p>
    <w:p w:rsidR="006C0DA4" w:rsidRDefault="006C0DA4" w:rsidP="006C0DA4">
      <w:pPr>
        <w:pBdr>
          <w:bottom w:val="single" w:sz="12" w:space="1" w:color="auto"/>
        </w:pBdr>
        <w:jc w:val="center"/>
        <w:rPr>
          <w:rFonts w:ascii="Arial" w:hAnsi="Arial" w:cs="Arial"/>
          <w:b/>
        </w:rPr>
      </w:pPr>
    </w:p>
    <w:p w:rsidR="009B39EB" w:rsidRPr="009B39EB" w:rsidRDefault="009B39EB" w:rsidP="006C0DA4">
      <w:pPr>
        <w:pBdr>
          <w:bottom w:val="single" w:sz="12" w:space="1" w:color="auto"/>
        </w:pBdr>
        <w:jc w:val="center"/>
        <w:rPr>
          <w:rFonts w:ascii="Arial" w:hAnsi="Arial" w:cs="Arial"/>
        </w:rPr>
      </w:pPr>
      <w:r w:rsidRPr="009B39EB">
        <w:rPr>
          <w:rFonts w:ascii="Arial" w:hAnsi="Arial" w:cs="Arial"/>
        </w:rPr>
        <w:t>session 2009-2010</w:t>
      </w:r>
    </w:p>
    <w:p w:rsidR="009B39EB" w:rsidRPr="009B39EB" w:rsidRDefault="009B39EB" w:rsidP="006C0DA4">
      <w:pPr>
        <w:pBdr>
          <w:bottom w:val="single" w:sz="12" w:space="1" w:color="auto"/>
        </w:pBdr>
        <w:jc w:val="center"/>
        <w:rPr>
          <w:rFonts w:ascii="Arial" w:hAnsi="Arial" w:cs="Arial"/>
          <w:b/>
        </w:rPr>
      </w:pPr>
    </w:p>
    <w:p w:rsidR="009B39EB" w:rsidRPr="009B39EB" w:rsidRDefault="009B39EB" w:rsidP="006C0DA4">
      <w:pPr>
        <w:jc w:val="both"/>
        <w:rPr>
          <w:rFonts w:ascii="Arial" w:hAnsi="Arial" w:cs="Arial"/>
        </w:rPr>
      </w:pPr>
    </w:p>
    <w:p w:rsidR="00255463" w:rsidRPr="009B39EB" w:rsidRDefault="00255463" w:rsidP="00255463">
      <w:pPr>
        <w:jc w:val="center"/>
        <w:rPr>
          <w:rFonts w:ascii="Arial" w:hAnsi="Arial" w:cs="Arial"/>
          <w:b/>
          <w:u w:val="single"/>
        </w:rPr>
      </w:pPr>
      <w:r w:rsidRPr="009B39EB">
        <w:rPr>
          <w:rFonts w:ascii="Arial" w:hAnsi="Arial" w:cs="Arial"/>
          <w:b/>
          <w:u w:val="single"/>
        </w:rPr>
        <w:t>Résumé</w:t>
      </w:r>
    </w:p>
    <w:p w:rsidR="009B39EB" w:rsidRDefault="009B39EB" w:rsidP="009B39EB">
      <w:pPr>
        <w:autoSpaceDE w:val="0"/>
        <w:autoSpaceDN w:val="0"/>
        <w:adjustRightInd w:val="0"/>
        <w:jc w:val="both"/>
        <w:rPr>
          <w:rFonts w:ascii="Arial" w:hAnsi="Arial" w:cs="Arial"/>
          <w:sz w:val="22"/>
          <w:szCs w:val="22"/>
        </w:rPr>
      </w:pPr>
    </w:p>
    <w:p w:rsidR="009B39EB" w:rsidRDefault="009B39EB" w:rsidP="009B39EB">
      <w:pPr>
        <w:autoSpaceDE w:val="0"/>
        <w:autoSpaceDN w:val="0"/>
        <w:adjustRightInd w:val="0"/>
        <w:jc w:val="both"/>
        <w:rPr>
          <w:rFonts w:ascii="Arial" w:hAnsi="Arial" w:cs="Arial"/>
          <w:sz w:val="22"/>
          <w:szCs w:val="22"/>
        </w:rPr>
      </w:pPr>
    </w:p>
    <w:p w:rsidR="009B39EB" w:rsidRPr="009B39EB" w:rsidRDefault="009B39EB" w:rsidP="009B39EB">
      <w:pPr>
        <w:autoSpaceDE w:val="0"/>
        <w:autoSpaceDN w:val="0"/>
        <w:adjustRightInd w:val="0"/>
        <w:jc w:val="both"/>
        <w:rPr>
          <w:rFonts w:ascii="Arial" w:hAnsi="Arial" w:cs="Arial"/>
          <w:sz w:val="22"/>
          <w:szCs w:val="22"/>
        </w:rPr>
      </w:pPr>
      <w:r w:rsidRPr="009B39EB">
        <w:rPr>
          <w:rFonts w:ascii="Arial" w:hAnsi="Arial" w:cs="Arial"/>
          <w:sz w:val="22"/>
          <w:szCs w:val="22"/>
        </w:rPr>
        <w:t xml:space="preserve">Le projet a pour objet une rectification purement matérielle de l’article 127, paragraphe (6) du Code d’instruction criminelle dans sa rédaction issue de la loi du 27 juin 2008 portant modification des articles 116, 126, 127, 152, 185, 188, 620 et 621 du Code d’instruction criminelle et abrogation de l’article 186 dudit code. </w:t>
      </w:r>
    </w:p>
    <w:p w:rsidR="006C0DA4" w:rsidRPr="009B39EB" w:rsidRDefault="006C0DA4" w:rsidP="006C0DA4">
      <w:pPr>
        <w:jc w:val="both"/>
        <w:rPr>
          <w:rFonts w:ascii="Arial" w:hAnsi="Arial" w:cs="Arial"/>
          <w:sz w:val="22"/>
          <w:szCs w:val="22"/>
        </w:rPr>
      </w:pPr>
    </w:p>
    <w:p w:rsidR="009B39EB" w:rsidRPr="009B39EB" w:rsidRDefault="009B39EB" w:rsidP="009B39EB">
      <w:pPr>
        <w:autoSpaceDE w:val="0"/>
        <w:autoSpaceDN w:val="0"/>
        <w:adjustRightInd w:val="0"/>
        <w:jc w:val="both"/>
        <w:rPr>
          <w:rFonts w:ascii="Arial" w:hAnsi="Arial" w:cs="Arial"/>
          <w:sz w:val="22"/>
          <w:szCs w:val="22"/>
        </w:rPr>
      </w:pPr>
      <w:r w:rsidRPr="009B39EB">
        <w:rPr>
          <w:rFonts w:ascii="Arial" w:hAnsi="Arial" w:cs="Arial"/>
          <w:sz w:val="22"/>
          <w:szCs w:val="22"/>
        </w:rPr>
        <w:t>Conformément aux travaux parlementaires, qui ont abouti à la loi du 27 juin 2008, la modification de l’article 127, paragraphe (6), était le résultat de l’abandon de l’exigence d’un rapport écrit et motivé du juge d’instruction. Ainsi la loi précitée du 27 juin 2008 poursuivait-elle l’objectif de supprimer la référence à ce rapport à l’endroit de l’alinéa 1</w:t>
      </w:r>
      <w:r w:rsidRPr="009B39EB">
        <w:rPr>
          <w:rFonts w:ascii="Arial" w:hAnsi="Arial" w:cs="Arial"/>
          <w:sz w:val="22"/>
          <w:szCs w:val="22"/>
          <w:vertAlign w:val="superscript"/>
        </w:rPr>
        <w:t xml:space="preserve">er </w:t>
      </w:r>
      <w:r w:rsidRPr="009B39EB">
        <w:rPr>
          <w:rFonts w:ascii="Arial" w:hAnsi="Arial" w:cs="Arial"/>
          <w:sz w:val="22"/>
          <w:szCs w:val="22"/>
        </w:rPr>
        <w:t>du paragraphe (6) de l’article 127 du Code d’instruction criminelle.</w:t>
      </w:r>
    </w:p>
    <w:p w:rsidR="009B39EB" w:rsidRPr="009B39EB" w:rsidRDefault="009B39EB" w:rsidP="009B39EB">
      <w:pPr>
        <w:autoSpaceDE w:val="0"/>
        <w:autoSpaceDN w:val="0"/>
        <w:adjustRightInd w:val="0"/>
        <w:jc w:val="both"/>
        <w:rPr>
          <w:rFonts w:ascii="Arial" w:hAnsi="Arial" w:cs="Arial"/>
          <w:sz w:val="22"/>
          <w:szCs w:val="22"/>
        </w:rPr>
      </w:pPr>
    </w:p>
    <w:p w:rsidR="009B39EB" w:rsidRPr="009B39EB" w:rsidRDefault="009B39EB" w:rsidP="009B39EB">
      <w:pPr>
        <w:autoSpaceDE w:val="0"/>
        <w:autoSpaceDN w:val="0"/>
        <w:adjustRightInd w:val="0"/>
        <w:jc w:val="both"/>
        <w:rPr>
          <w:rFonts w:ascii="Arial" w:hAnsi="Arial" w:cs="Arial"/>
          <w:sz w:val="22"/>
          <w:szCs w:val="22"/>
        </w:rPr>
      </w:pPr>
      <w:r w:rsidRPr="009B39EB">
        <w:rPr>
          <w:rFonts w:ascii="Arial" w:hAnsi="Arial" w:cs="Arial"/>
          <w:sz w:val="22"/>
          <w:szCs w:val="22"/>
        </w:rPr>
        <w:t>La jurisprudence quant à elle a interprété l’article 127, paragraphe (6) nouveau comme ne prévoyant plus que les formalités prévues audit paragraphe sont à observer à peine de nullité, « </w:t>
      </w:r>
      <w:r w:rsidRPr="009B39EB">
        <w:rPr>
          <w:rFonts w:ascii="Arial" w:hAnsi="Arial" w:cs="Arial"/>
          <w:i/>
          <w:sz w:val="22"/>
          <w:szCs w:val="22"/>
        </w:rPr>
        <w:t>les alinéas 2 et 3 de l’ancien texte de ce paragraphe n’ayant pas été reproduits dans le texte législatif qui a modifié le paragraphe (6) dudit article et qui a été publié au Mémorial </w:t>
      </w:r>
      <w:r w:rsidRPr="009B39EB">
        <w:rPr>
          <w:rFonts w:ascii="Arial" w:hAnsi="Arial" w:cs="Arial"/>
          <w:sz w:val="22"/>
          <w:szCs w:val="22"/>
        </w:rPr>
        <w:t>» (Chambre du conseil de la Cour d’appel, arrêt N° 484/08 du 3 octobre 2008).</w:t>
      </w:r>
    </w:p>
    <w:p w:rsidR="009B39EB" w:rsidRPr="009B39EB" w:rsidRDefault="009B39EB" w:rsidP="009B39EB">
      <w:pPr>
        <w:autoSpaceDE w:val="0"/>
        <w:autoSpaceDN w:val="0"/>
        <w:adjustRightInd w:val="0"/>
        <w:jc w:val="both"/>
        <w:rPr>
          <w:rFonts w:ascii="Arial" w:hAnsi="Arial" w:cs="Arial"/>
          <w:sz w:val="22"/>
          <w:szCs w:val="22"/>
        </w:rPr>
      </w:pPr>
    </w:p>
    <w:p w:rsidR="009B39EB" w:rsidRPr="009B39EB" w:rsidRDefault="009B39EB" w:rsidP="009B39EB">
      <w:pPr>
        <w:autoSpaceDE w:val="0"/>
        <w:autoSpaceDN w:val="0"/>
        <w:adjustRightInd w:val="0"/>
        <w:jc w:val="both"/>
        <w:rPr>
          <w:rFonts w:ascii="Arial" w:hAnsi="Arial" w:cs="Arial"/>
          <w:sz w:val="22"/>
          <w:szCs w:val="22"/>
        </w:rPr>
      </w:pPr>
      <w:r w:rsidRPr="009B39EB">
        <w:rPr>
          <w:rFonts w:ascii="Arial" w:hAnsi="Arial" w:cs="Arial"/>
          <w:sz w:val="22"/>
          <w:szCs w:val="22"/>
        </w:rPr>
        <w:t xml:space="preserve">Etant donné que cette approche ne reflète pas l’intention du législateur, le projet de loi sous rubrique entend rétablir les dispositions des alinéas 2 et 3 du paragraphe (6) de l’article 127 du Code d’instruction criminelle, tels qu’en vigueur avant l’adoption de la loi du 27 juin 2008. </w:t>
      </w:r>
    </w:p>
    <w:p w:rsidR="009B39EB" w:rsidRPr="009B39EB" w:rsidRDefault="009B39EB" w:rsidP="006C0DA4">
      <w:pPr>
        <w:jc w:val="both"/>
        <w:rPr>
          <w:rFonts w:ascii="Arial" w:hAnsi="Arial" w:cs="Arial"/>
          <w:sz w:val="22"/>
          <w:szCs w:val="22"/>
        </w:rPr>
      </w:pPr>
    </w:p>
    <w:p w:rsidR="00255463" w:rsidRPr="009B39EB" w:rsidRDefault="00255463" w:rsidP="00255463">
      <w:pPr>
        <w:jc w:val="both"/>
        <w:rPr>
          <w:rFonts w:ascii="Arial" w:hAnsi="Arial" w:cs="Arial"/>
        </w:rPr>
      </w:pPr>
    </w:p>
    <w:p w:rsidR="006C0DA4" w:rsidRPr="009B39EB" w:rsidRDefault="006C0DA4" w:rsidP="006C0DA4">
      <w:pPr>
        <w:jc w:val="both"/>
        <w:rPr>
          <w:rFonts w:ascii="Arial" w:hAnsi="Arial" w:cs="Arial"/>
        </w:rPr>
      </w:pPr>
    </w:p>
    <w:sectPr w:rsidR="006C0DA4" w:rsidRPr="009B39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0DA4"/>
    <w:rsid w:val="001D4DEC"/>
    <w:rsid w:val="00255233"/>
    <w:rsid w:val="00255463"/>
    <w:rsid w:val="00592DBC"/>
    <w:rsid w:val="006C0DA4"/>
    <w:rsid w:val="009B39EB"/>
    <w:rsid w:val="00B12F3E"/>
    <w:rsid w:val="00DE45A4"/>
    <w:rsid w:val="00E96A04"/>
    <w:rsid w:val="00FC2DFF"/>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94A87FC7-E49C-4A69-B15A-44652BC67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DA4"/>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DP6074</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6074</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/sftpecos/Dossiers_parlementaires/6074/</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71FEDF50-6D3F-4803-A330-839946CA8E97}"/>
</file>

<file path=customXml/itemProps2.xml><?xml version="1.0" encoding="utf-8"?>
<ds:datastoreItem xmlns:ds="http://schemas.openxmlformats.org/officeDocument/2006/customXml" ds:itemID="{F6EAD384-618F-4905-89DB-228F94C90728}"/>
</file>

<file path=customXml/itemProps3.xml><?xml version="1.0" encoding="utf-8"?>
<ds:datastoreItem xmlns:ds="http://schemas.openxmlformats.org/officeDocument/2006/customXml" ds:itemID="{FD6F4846-9110-4C69-8D6D-3BF4078B08E0}"/>
</file>

<file path=docProps/app.xml><?xml version="1.0" encoding="utf-8"?>
<Properties xmlns="http://schemas.openxmlformats.org/officeDocument/2006/extended-properties" xmlns:vt="http://schemas.openxmlformats.org/officeDocument/2006/docPropsVTypes">
  <Template>Normal</Template>
  <TotalTime>0</TotalTime>
  <Pages>2</Pages>
  <Words>250</Words>
  <Characters>1380</Characters>
  <Application>Microsoft Office Word</Application>
  <DocSecurity>4</DocSecurity>
  <Lines>11</Lines>
  <Paragraphs>3</Paragraphs>
  <ScaleCrop>false</ScaleCrop>
  <HeadingPairs>
    <vt:vector size="2" baseType="variant">
      <vt:variant>
        <vt:lpstr>Titre</vt:lpstr>
      </vt:variant>
      <vt:variant>
        <vt:i4>1</vt:i4>
      </vt:variant>
    </vt:vector>
  </HeadingPairs>
  <TitlesOfParts>
    <vt:vector size="1" baseType="lpstr">
      <vt:lpstr>Proposition de révision de l’article 68 de la Constitution</vt:lpstr>
    </vt:vector>
  </TitlesOfParts>
  <Company/>
  <LinksUpToDate>false</LinksUpToDate>
  <CharactersWithSpaces>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Laurent Besch</dc:creator>
  <cp:keywords/>
  <cp:lastModifiedBy>SYSTEM</cp:lastModifiedBy>
  <cp:revision>2</cp:revision>
  <dcterms:created xsi:type="dcterms:W3CDTF">2024-02-21T07:45:00Z</dcterms:created>
  <dcterms:modified xsi:type="dcterms:W3CDTF">2024-02-21T07:45:00Z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