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F2658D" w:rsidRDefault="00953E7F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2658D">
        <w:rPr>
          <w:b/>
          <w:sz w:val="32"/>
          <w:szCs w:val="32"/>
        </w:rPr>
        <w:t>N° 6072</w:t>
      </w:r>
    </w:p>
    <w:p w:rsidR="00C433FC" w:rsidRPr="00F2658D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F2658D" w:rsidRDefault="00C433FC" w:rsidP="00C433FC">
      <w:pPr>
        <w:jc w:val="both"/>
        <w:rPr>
          <w:b/>
        </w:rPr>
      </w:pPr>
    </w:p>
    <w:p w:rsidR="00C433FC" w:rsidRPr="00F2658D" w:rsidRDefault="00C433FC" w:rsidP="00C433FC">
      <w:pPr>
        <w:jc w:val="center"/>
        <w:rPr>
          <w:b/>
          <w:sz w:val="32"/>
          <w:szCs w:val="32"/>
        </w:rPr>
      </w:pPr>
      <w:r w:rsidRPr="00F2658D">
        <w:rPr>
          <w:b/>
          <w:sz w:val="32"/>
          <w:szCs w:val="32"/>
        </w:rPr>
        <w:t>Projet de loi</w:t>
      </w:r>
    </w:p>
    <w:p w:rsidR="006142E0" w:rsidRPr="00F2658D" w:rsidRDefault="006142E0" w:rsidP="006142E0">
      <w:pPr>
        <w:jc w:val="center"/>
        <w:rPr>
          <w:b/>
        </w:rPr>
      </w:pPr>
      <w:r w:rsidRPr="00F2658D">
        <w:rPr>
          <w:b/>
        </w:rPr>
        <w:t>portant</w:t>
      </w: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la Convention entre le Grand-Duché de Luxembourg et le Royaume du Bahreïn tendant à éviter les doubles impositions et à prévenir la fraude fiscale en matière d’impôts sur le revenu et sur la fortune, ainsi que de l’échange de lettres y relatif, signés à Luxembourg, le 6 mai 2009;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la Convention entre le Gouvernement du Grand-Duché de Luxembourg et le Gouvernement de la République d’Arménie tendant à éviter les doubles impositions et à prévenir la fraude fiscale en matière d’impôts sur le revenu et sur la fortune et du Protocole, ainsi que de l’échange de lettres y relatifs, signés à Luxembourg, le 23 juin 2009;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la Convention entre le Gouvernement du Grand-Duché de Luxembourg et le Gouvernement de l’Etat du Qatar tendant à éviter les doubles impositions et à prévenir la fraude fiscale en matière d’impôts sur le revenu et sur la fortune et du Protocole, ainsi que de l’échange de lettres y relatif, signés à Luxembourg, le 3 juillet 2009;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la Convention entre le Grand-Duché de Luxembourg et la Principauté de Monaco tendant à éviter les doubles impositions et à prévenir la fraude fiscale en matière d’impôts sur le revenu et sur la fortune, ainsi que de l’échange de lettres y relatif, signés à Luxembourg, le 27 juillet 2009;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la Convention entre le Grand-Duché de Luxembourg et la Principauté de Liechtenstein tendant à éviter les doubles impositions et à prévenir la fraude fiscale en matière d’impôts sur le revenu et sur la fortune, ainsi que de l’échange de lettres y relatif, signés à Vaduz, le 26 août 2009;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relatif, signés à Luxembourg, le 20 mai 2009, modifiant la Convention entre le Gouvernement du Grand-Duché de Luxembourg et le Gouvernement des Etats-Unis d’Amérique tendant à éviter les doubles impositions et à prévenir la fraude fiscale en matière d’impôts sur le revenu et sur la fortune, signée à Luxembourg, le 3 avril 1996;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relatif, signés à La Haye, le 29 mai 2009, modifiant la Convention entre le Grand-Duché de Luxembourg et le Royaume des Pays-Bas tendant à éviter les doubles impositions et à prévenir l’évasion fiscale en matière d’impôts sur le revenu et sur la fortune, signée à La Haye, le 8 mai 1968;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l’Avenant et de l’échange de lettres y relatif, signés à Paris, le 3 juin 2009, à la Convention entre le Grand- Duché de Luxembourg et la France tendant à éviter les doubles impositions et à établir des règles d’assistance administrative réciproque en matière d’impôts sur le revenu et sur la fortune, signée à Paris, le 1er avril 1958, modifiée par un Avenant signé à Paris le 8 septembre 1970 et par un Avenant signé à Luxembourg, le 24 novembre 2006;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 xml:space="preserve">approbation du Protocole et de l’échange de lettres y relatif, signés à Luxembourg, le 4 juin 2009, modifiant la Convention entre le Gouvernement du Grand-Duché de Luxembourg et le Gouvernement du Royaume de Danemark tendant à éviter les doubles impositions et à établir des règles d’assistance administrative réciproque en </w:t>
      </w:r>
      <w:r w:rsidRPr="00F2658D">
        <w:rPr>
          <w:b/>
        </w:rPr>
        <w:lastRenderedPageBreak/>
        <w:t>matière d’impôts sur le revenu et sur la fortune, signée à Luxembourg, le 17 novembre 1980;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l’Avenant et de l’échange de lettres y relatif, signés à Luxembourg, le 1</w:t>
      </w:r>
      <w:r w:rsidRPr="00F2658D">
        <w:rPr>
          <w:b/>
          <w:vertAlign w:val="superscript"/>
        </w:rPr>
        <w:t>er</w:t>
      </w:r>
      <w:r w:rsidRPr="00F2658D">
        <w:rPr>
          <w:b/>
        </w:rPr>
        <w:t xml:space="preserve"> juillet 2009, en vue de modifier la Convention entre le Luxembourg et la Finlande tendant à éviter les doubles impositions en matière d’impôts sur le revenu et sur la fortune, signée à Luxembourg, le 1er mars 1982;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Troisième Avenant et de l’échange de lettres y relatif, signés à Londres, le 2 juillet 2009, modifiant la Convention entre le Grand-Duché de Luxembourg et le Royaume-Uni de Grande-Bretagne et d’Irlande du Nord tendant à éviter les doubles impositions et à prévenir l’évasion fiscale en matière d’impôts sur le revenu et sur la fortune, signée à Londres, le 24 mai 1967;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relatif, signés à Bruxelles, le 7 juillet 2009, modifiant la Convention entre le Grand-Duché de Luxembourg et la République d’Autriche tendant à éviter les doubles impositions en matière d’impôts sur le revenu et sur la fortune, signée à Luxembourg, le 18 octobre 1962;</w:t>
      </w:r>
    </w:p>
    <w:p w:rsidR="006142E0" w:rsidRPr="00F2658D" w:rsidRDefault="006142E0" w:rsidP="006142E0">
      <w:pPr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 signés à Bruxelles, le 7 juillet 2009, modifiant la Convention entre le Grand-Duché de Luxembourg et le Royaume de Norvège tendant à éviter les doubles impositions et à prévenir l’évasion fiscale en matière d’impôts sur le revenu et sur la fortune, le Protocole final et le Protocole additionnel y relatifs, signés à Oslo, le 6 mai 1983;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l’Avenant et de l’échange de lettres y relatif, signés à Bruxelles, le 16 juillet 2009, à la Convention entre le Grand-Duché de Luxembourg et le Royaume de Belgique en vue d’éviter les doubl</w:t>
      </w:r>
      <w:r w:rsidR="00FF4433" w:rsidRPr="00F2658D">
        <w:rPr>
          <w:b/>
        </w:rPr>
        <w:t>es impositions et de régler cer</w:t>
      </w:r>
      <w:r w:rsidRPr="00F2658D">
        <w:rPr>
          <w:b/>
        </w:rPr>
        <w:t>taines autres questions en matière d’impôts sur le revenu et sur la fortune et le Protocole final y relatif, signés à Luxembourg, le 17 septembre 1970, tels que modifiés par l’Avenant, signé à Bruxelles, le 11 décembre 2002;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de l’Avenant, signé à Berne, le 25 août 2009, modifiant la Convention entre le Grand-Duché de Luxembourg et la Confédération Suisse en vue d’éviter les doubles impositions en matière d’impôts sur le revenu et sur la fortune, signée à Berne, le 21 janvier 1993;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6142E0" w:rsidRPr="00F2658D" w:rsidRDefault="006142E0" w:rsidP="006142E0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relatif, signés à Luxembourg, le 28 août 2009, modifiant la Convention entre le Grand-Duché de Luxembourg et la République d’Islande tendant à éviter les doubles impositions et à prévenir la fraude fiscale en matière d’impôts sur le revenu et sur la fortune, signée à Luxembourg, le 4 octobre 1999;</w:t>
      </w:r>
    </w:p>
    <w:p w:rsidR="006142E0" w:rsidRPr="00F2658D" w:rsidRDefault="006142E0" w:rsidP="006142E0">
      <w:pPr>
        <w:ind w:left="360"/>
        <w:jc w:val="both"/>
        <w:rPr>
          <w:b/>
          <w:sz w:val="8"/>
          <w:szCs w:val="8"/>
        </w:rPr>
      </w:pPr>
    </w:p>
    <w:p w:rsidR="00D1682D" w:rsidRPr="00F2658D" w:rsidRDefault="006142E0" w:rsidP="00D1682D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 et de l’échange de lettres y relatif, signés à Luxembourg, le 30 septembre 2009, modifiant la Convention entre le Grand-Duché de Luxembourg et la République de Turquie tendant à éviter les doubles impositions et à prévenir la fraude fiscale en matière d’impôts sur le revenu et sur la fortune et du Protocole y relatif, signés à Ankara, le 9 juin 2003</w:t>
      </w:r>
      <w:r w:rsidR="00D1682D" w:rsidRPr="00F2658D">
        <w:rPr>
          <w:b/>
        </w:rPr>
        <w:t>;</w:t>
      </w:r>
    </w:p>
    <w:p w:rsidR="00D1682D" w:rsidRPr="00F2658D" w:rsidRDefault="00D1682D" w:rsidP="00D1682D">
      <w:pPr>
        <w:ind w:left="360"/>
        <w:jc w:val="both"/>
        <w:rPr>
          <w:b/>
          <w:sz w:val="8"/>
          <w:szCs w:val="8"/>
        </w:rPr>
      </w:pPr>
    </w:p>
    <w:p w:rsidR="00D1682D" w:rsidRPr="00F2658D" w:rsidRDefault="00D1682D" w:rsidP="00D1682D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 xml:space="preserve">approbation du Protocole, signé à Luxembourg, le 7 octobre 2009, modifiant la Convention entre le Grand-Duché de Luxembourg et les Etats-Unis Mexicains tendant à éviter les doubles impositions et à prévenir la fraude fiscale en matière d’impôts sur le revenu et sur la fortune, signée à Luxembourg, le 7 février 2001; </w:t>
      </w:r>
    </w:p>
    <w:p w:rsidR="00D1682D" w:rsidRPr="00F2658D" w:rsidRDefault="00D1682D" w:rsidP="00D1682D">
      <w:pPr>
        <w:ind w:left="360"/>
        <w:jc w:val="both"/>
        <w:rPr>
          <w:b/>
          <w:sz w:val="8"/>
          <w:szCs w:val="8"/>
        </w:rPr>
      </w:pPr>
    </w:p>
    <w:p w:rsidR="00D1682D" w:rsidRPr="00F2658D" w:rsidRDefault="00D1682D" w:rsidP="00D1682D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 xml:space="preserve">approbation du Protocole et de l’échange de lettres y relatif, signés à Bruxelles, le 10 novembre 2009, modifiant la Convention entre le Grand-Duché de Luxembourg et le Royaume d’Espagne tendant à éviter les doubles impositions en matière d’impôts sur le revenu et sur la fortune et à prévenir la fraude et l’évasion fiscales, signée à Madrid, le 3 juin 1986; </w:t>
      </w:r>
    </w:p>
    <w:p w:rsidR="00D1682D" w:rsidRPr="00F2658D" w:rsidRDefault="00D1682D" w:rsidP="00D1682D">
      <w:pPr>
        <w:ind w:left="360"/>
        <w:jc w:val="both"/>
        <w:rPr>
          <w:b/>
          <w:sz w:val="8"/>
          <w:szCs w:val="8"/>
        </w:rPr>
      </w:pPr>
    </w:p>
    <w:p w:rsidR="00D1682D" w:rsidRPr="00F2658D" w:rsidRDefault="00D1682D" w:rsidP="00D1682D">
      <w:pPr>
        <w:numPr>
          <w:ilvl w:val="0"/>
          <w:numId w:val="13"/>
        </w:numPr>
        <w:jc w:val="both"/>
        <w:rPr>
          <w:b/>
        </w:rPr>
      </w:pPr>
      <w:r w:rsidRPr="00F2658D">
        <w:rPr>
          <w:b/>
        </w:rPr>
        <w:t>approbation du Protocole, signé à Luxembourg, le 11 décembre 2009, modifiant la Convention du 23 août 1958 entre le Grand-Duché de Luxembourg et la République Fédérale d’Allemagne tendant à éviter les doubles impositions et à établir des règles d’assistance administrative réciproque en matière d’impôts sur le revenu et sur la fortune et en matière d’impôt commercial et d’impôt foncier</w:t>
      </w:r>
    </w:p>
    <w:p w:rsidR="00953E7F" w:rsidRPr="00F2658D" w:rsidRDefault="00953E7F" w:rsidP="00C433FC">
      <w:pPr>
        <w:pStyle w:val="Textebrut"/>
        <w:jc w:val="center"/>
        <w:rPr>
          <w:rFonts w:ascii="Times New Roman" w:hAnsi="Times New Roman"/>
          <w:sz w:val="8"/>
          <w:szCs w:val="8"/>
        </w:rPr>
      </w:pPr>
    </w:p>
    <w:p w:rsidR="005D4A39" w:rsidRPr="00F2658D" w:rsidRDefault="005D4A39" w:rsidP="005D4A39">
      <w:pPr>
        <w:jc w:val="both"/>
        <w:rPr>
          <w:b/>
        </w:rPr>
      </w:pPr>
      <w:r w:rsidRPr="00F2658D">
        <w:rPr>
          <w:b/>
        </w:rPr>
        <w:t>et prévoyant la procédure y applicable en matière d’échange de renseignements sur demande.</w:t>
      </w:r>
    </w:p>
    <w:p w:rsidR="005D4A39" w:rsidRPr="008C5E48" w:rsidRDefault="005D4A39" w:rsidP="00C433FC">
      <w:pPr>
        <w:pStyle w:val="Textebrut"/>
        <w:jc w:val="center"/>
        <w:rPr>
          <w:rFonts w:ascii="Times New Roman" w:hAnsi="Times New Roman"/>
          <w:sz w:val="24"/>
          <w:szCs w:val="24"/>
        </w:rPr>
      </w:pPr>
    </w:p>
    <w:p w:rsidR="008C5E48" w:rsidRPr="008C5E48" w:rsidRDefault="008C5E48" w:rsidP="008C5E4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LU" w:eastAsia="fr-LU" w:bidi="ar-SA"/>
        </w:rPr>
      </w:pPr>
    </w:p>
    <w:p w:rsidR="00E952E5" w:rsidRPr="00F2658D" w:rsidRDefault="00E952E5" w:rsidP="00807C6F">
      <w:pPr>
        <w:jc w:val="both"/>
      </w:pPr>
      <w:r w:rsidRPr="00F2658D">
        <w:t xml:space="preserve">A la lumière des développements internationaux concernant le renforcement de la coopération internationale en matière fiscale, le Luxembourg a décidé, en date du 13 mars 2009, </w:t>
      </w:r>
      <w:r w:rsidR="00A52428" w:rsidRPr="00F2658D">
        <w:t>d’adopter</w:t>
      </w:r>
      <w:r w:rsidRPr="00F2658D">
        <w:t xml:space="preserve"> entièrement </w:t>
      </w:r>
      <w:r w:rsidR="00A52428" w:rsidRPr="00F2658D">
        <w:t>le</w:t>
      </w:r>
      <w:r w:rsidRPr="00F2658D">
        <w:t xml:space="preserve"> standard défini par le modèle de convention fiscale concernant le revenu et la fortune de l’OCDE en matière d’échange de renseignements sur demande entre administrations fiscales.</w:t>
      </w:r>
    </w:p>
    <w:p w:rsidR="00E952E5" w:rsidRPr="00F2658D" w:rsidRDefault="00E952E5" w:rsidP="00807C6F">
      <w:pPr>
        <w:jc w:val="both"/>
      </w:pPr>
    </w:p>
    <w:p w:rsidR="004E24D2" w:rsidRPr="00F2658D" w:rsidRDefault="007E2A30" w:rsidP="00807C6F">
      <w:pPr>
        <w:jc w:val="both"/>
      </w:pPr>
      <w:r w:rsidRPr="00F2658D">
        <w:t>Depuis cette date</w:t>
      </w:r>
      <w:r w:rsidR="001F58EA" w:rsidRPr="00F2658D">
        <w:t xml:space="preserve"> et jusqu’au dépôt du projet de loi</w:t>
      </w:r>
      <w:r w:rsidRPr="00F2658D">
        <w:t>, le Gouvernement luxembourgeois a</w:t>
      </w:r>
      <w:r w:rsidR="00A17352" w:rsidRPr="00F2658D">
        <w:t>vait</w:t>
      </w:r>
      <w:r w:rsidRPr="00F2658D">
        <w:t xml:space="preserve"> signé un avenant modifiant les conventions fiscales en vigueur avec une douzaine d’Etats</w:t>
      </w:r>
      <w:r w:rsidR="004E24D2" w:rsidRPr="00F2658D">
        <w:t xml:space="preserve"> (Etats-Unis d’Amérique, Pays-Bas, France, Danemark, Finlande, Royaume-Uni, Autriche,  Norvège, Belgique, Suisse, Islande, Turquie)</w:t>
      </w:r>
      <w:r w:rsidRPr="00F2658D">
        <w:t>, afin de mettre à jour la clause de ces conventions traitant de l’échange de renseignements en</w:t>
      </w:r>
      <w:r w:rsidR="00A17352" w:rsidRPr="00F2658D">
        <w:t xml:space="preserve"> suivant la formulation</w:t>
      </w:r>
      <w:r w:rsidRPr="00F2658D">
        <w:t xml:space="preserve"> de l’article 26, paragraphe 5 du Modèle de Convention de l’OCDE en sa version de 2005. </w:t>
      </w:r>
    </w:p>
    <w:p w:rsidR="004E24D2" w:rsidRPr="00F2658D" w:rsidRDefault="004E24D2" w:rsidP="00807C6F">
      <w:pPr>
        <w:jc w:val="both"/>
      </w:pPr>
      <w:r w:rsidRPr="00F2658D">
        <w:t xml:space="preserve">En outre, le </w:t>
      </w:r>
      <w:r w:rsidR="001A4981" w:rsidRPr="00F2658D">
        <w:t>G</w:t>
      </w:r>
      <w:r w:rsidRPr="00F2658D">
        <w:t>ouvernement luxembourgeois a</w:t>
      </w:r>
      <w:r w:rsidR="00A17352" w:rsidRPr="00F2658D">
        <w:t>vait</w:t>
      </w:r>
      <w:r w:rsidRPr="00F2658D">
        <w:t xml:space="preserve"> signé une convention avec cinq Etats  qui n’étaient jusqu’ici pas liés à notre pays par une convention fiscale</w:t>
      </w:r>
      <w:r w:rsidR="00CE6AF1" w:rsidRPr="00F2658D">
        <w:t xml:space="preserve"> (Bahreïn</w:t>
      </w:r>
      <w:r w:rsidR="00A92428" w:rsidRPr="00F2658D">
        <w:t xml:space="preserve">, Arménie, </w:t>
      </w:r>
      <w:r w:rsidR="00CE6AF1" w:rsidRPr="00F2658D">
        <w:t>Qatar, Monaco, Liechtenstein)</w:t>
      </w:r>
      <w:r w:rsidRPr="00F2658D">
        <w:t>. Ces traités suivent</w:t>
      </w:r>
      <w:r w:rsidR="00A17352" w:rsidRPr="00F2658D">
        <w:t xml:space="preserve"> également les standards</w:t>
      </w:r>
      <w:r w:rsidRPr="00F2658D">
        <w:t xml:space="preserve"> de la convention modèle en matière d’échange d’informations. </w:t>
      </w:r>
    </w:p>
    <w:p w:rsidR="004E24D2" w:rsidRPr="00F2658D" w:rsidRDefault="004E24D2" w:rsidP="00807C6F">
      <w:pPr>
        <w:jc w:val="both"/>
      </w:pPr>
    </w:p>
    <w:p w:rsidR="004E24D2" w:rsidRPr="00F2658D" w:rsidRDefault="00AA5321" w:rsidP="00807C6F">
      <w:pPr>
        <w:jc w:val="both"/>
      </w:pPr>
      <w:r w:rsidRPr="00F2658D">
        <w:t>Les conventi</w:t>
      </w:r>
      <w:r w:rsidR="00711B4F">
        <w:t>ons nouvelles et les avenants aux</w:t>
      </w:r>
      <w:r w:rsidRPr="00F2658D">
        <w:t xml:space="preserve"> conventions existantes </w:t>
      </w:r>
      <w:r w:rsidR="00907777" w:rsidRPr="00F2658D">
        <w:t>soumis</w:t>
      </w:r>
      <w:r w:rsidRPr="00F2658D">
        <w:t xml:space="preserve"> à approbation </w:t>
      </w:r>
      <w:r w:rsidR="00A17352" w:rsidRPr="00F2658D">
        <w:t>avaient été</w:t>
      </w:r>
      <w:r w:rsidRPr="00F2658D">
        <w:t xml:space="preserve"> complétés par des échanges de lettres. Ces échanges apportent </w:t>
      </w:r>
      <w:r w:rsidR="006D1183" w:rsidRPr="00F2658D">
        <w:t>d</w:t>
      </w:r>
      <w:r w:rsidRPr="00F2658D">
        <w:t>es précisions  quant à l’application des règles d’assistance administrative réciproque en mati</w:t>
      </w:r>
      <w:r w:rsidR="00A17352" w:rsidRPr="00F2658D">
        <w:t>ère d’échange de renseignements</w:t>
      </w:r>
      <w:r w:rsidR="006D1183" w:rsidRPr="00F2658D">
        <w:t>.</w:t>
      </w:r>
      <w:r w:rsidR="00A17352" w:rsidRPr="00F2658D">
        <w:t> </w:t>
      </w:r>
      <w:r w:rsidRPr="00F2658D">
        <w:t xml:space="preserve"> </w:t>
      </w:r>
    </w:p>
    <w:p w:rsidR="00AA5321" w:rsidRPr="00F2658D" w:rsidRDefault="00AA5321" w:rsidP="00807C6F">
      <w:pPr>
        <w:jc w:val="both"/>
      </w:pPr>
    </w:p>
    <w:p w:rsidR="0037485A" w:rsidRPr="00F2658D" w:rsidRDefault="00AA5321" w:rsidP="00807C6F">
      <w:pPr>
        <w:jc w:val="both"/>
      </w:pPr>
      <w:r w:rsidRPr="00F2658D">
        <w:t>Les mêmes règles en matière d’échange de renseignements sur demande s’appliquent dorénavant également envers l’Inde en vertu du Protocole de la Convention tendant à éviter les doubles impositions et à prévenir la fraude fiscale en matière d’impôts sur le revenu et la fortune, signé à New Delhi, le 2 juin 2008.</w:t>
      </w:r>
      <w:r w:rsidR="0037485A" w:rsidRPr="00F2658D">
        <w:t xml:space="preserve"> </w:t>
      </w:r>
    </w:p>
    <w:p w:rsidR="001413A5" w:rsidRPr="00F2658D" w:rsidRDefault="001413A5" w:rsidP="00807C6F">
      <w:pPr>
        <w:jc w:val="both"/>
      </w:pPr>
    </w:p>
    <w:p w:rsidR="0037485A" w:rsidRPr="00F2658D" w:rsidRDefault="0037485A" w:rsidP="00807C6F">
      <w:pPr>
        <w:jc w:val="both"/>
      </w:pPr>
      <w:r w:rsidRPr="00F2658D">
        <w:t>Dep</w:t>
      </w:r>
      <w:r w:rsidR="00711B4F">
        <w:t>uis le dépôt du projet de loi N°</w:t>
      </w:r>
      <w:r w:rsidRPr="00F2658D">
        <w:t xml:space="preserve"> 6072 en date du 1</w:t>
      </w:r>
      <w:r w:rsidRPr="00711B4F">
        <w:rPr>
          <w:vertAlign w:val="superscript"/>
        </w:rPr>
        <w:t>er</w:t>
      </w:r>
      <w:r w:rsidRPr="00F2658D">
        <w:t xml:space="preserve"> octobre 2009, des négociations ont pu être </w:t>
      </w:r>
      <w:r w:rsidR="00A17352" w:rsidRPr="00F2658D">
        <w:t>mené</w:t>
      </w:r>
      <w:r w:rsidR="001A4981" w:rsidRPr="00F2658D">
        <w:t>e</w:t>
      </w:r>
      <w:r w:rsidR="00A17352" w:rsidRPr="00F2658D">
        <w:t>s à bien</w:t>
      </w:r>
      <w:r w:rsidRPr="00F2658D">
        <w:t xml:space="preserve"> avec </w:t>
      </w:r>
      <w:r w:rsidR="00A92428" w:rsidRPr="00F2658D">
        <w:t>le Mexique</w:t>
      </w:r>
      <w:r w:rsidRPr="00F2658D">
        <w:t xml:space="preserve">, </w:t>
      </w:r>
      <w:r w:rsidR="00A92428" w:rsidRPr="00F2658D">
        <w:t>l</w:t>
      </w:r>
      <w:r w:rsidRPr="00F2658D">
        <w:t>’Espagne et l’</w:t>
      </w:r>
      <w:r w:rsidR="00A17352" w:rsidRPr="00F2658D">
        <w:t>Allemagne aboutissant chaque fois</w:t>
      </w:r>
      <w:r w:rsidRPr="00F2658D">
        <w:t xml:space="preserve"> </w:t>
      </w:r>
      <w:r w:rsidR="00A17352" w:rsidRPr="00F2658D">
        <w:t>à</w:t>
      </w:r>
      <w:r w:rsidRPr="00F2658D">
        <w:t xml:space="preserve"> la signature </w:t>
      </w:r>
      <w:r w:rsidR="00A17352" w:rsidRPr="00F2658D">
        <w:t>d’un Protocole modificatif</w:t>
      </w:r>
      <w:r w:rsidRPr="00F2658D">
        <w:t xml:space="preserve"> et </w:t>
      </w:r>
      <w:r w:rsidR="00A17352" w:rsidRPr="00F2658D">
        <w:t>à un échange de lettres afférent. L’approbation de ces Protocoles</w:t>
      </w:r>
      <w:r w:rsidRPr="00F2658D">
        <w:t xml:space="preserve"> a fait l’objet d</w:t>
      </w:r>
      <w:r w:rsidR="00A17352" w:rsidRPr="00F2658D">
        <w:t>’un amendement gouvernemental en date du</w:t>
      </w:r>
      <w:r w:rsidRPr="00F2658D">
        <w:t xml:space="preserve"> 14 décembre 2009</w:t>
      </w:r>
      <w:r w:rsidR="00A4073B" w:rsidRPr="00F2658D">
        <w:t>.</w:t>
      </w:r>
      <w:r w:rsidRPr="00F2658D">
        <w:t xml:space="preserve"> </w:t>
      </w:r>
    </w:p>
    <w:p w:rsidR="0037485A" w:rsidRPr="00F2658D" w:rsidRDefault="0037485A" w:rsidP="00807C6F">
      <w:pPr>
        <w:jc w:val="both"/>
      </w:pPr>
    </w:p>
    <w:p w:rsidR="00A901A3" w:rsidRPr="00F2658D" w:rsidRDefault="0037485A" w:rsidP="00807C6F">
      <w:pPr>
        <w:jc w:val="both"/>
      </w:pPr>
      <w:r w:rsidRPr="00F2658D">
        <w:t xml:space="preserve">De ce fait, le Grand-Duché compte </w:t>
      </w:r>
      <w:r w:rsidR="00A17352" w:rsidRPr="00F2658D">
        <w:t xml:space="preserve">à l’heure actuelle </w:t>
      </w:r>
      <w:r w:rsidR="00A92428" w:rsidRPr="00F2658D">
        <w:t>20</w:t>
      </w:r>
      <w:r w:rsidRPr="00F2658D">
        <w:t xml:space="preserve"> conventions prévoyant un échange de renseignements conforme </w:t>
      </w:r>
      <w:r w:rsidR="00A17352" w:rsidRPr="00F2658D">
        <w:t>au modèle</w:t>
      </w:r>
      <w:r w:rsidRPr="00F2658D">
        <w:t xml:space="preserve"> de l’OCDE</w:t>
      </w:r>
      <w:r w:rsidR="00A17352" w:rsidRPr="00F2658D">
        <w:t xml:space="preserve"> et figure </w:t>
      </w:r>
      <w:r w:rsidR="00CC2A70">
        <w:t xml:space="preserve">ainsi </w:t>
      </w:r>
      <w:r w:rsidR="00807C6F" w:rsidRPr="00F2658D">
        <w:t>sur la liste de l’OCDE des juridictions appliquant l’ensemble des standards internationaux en matière de coopération fiscale transfrontalière.</w:t>
      </w:r>
    </w:p>
    <w:p w:rsidR="00016D3E" w:rsidRPr="00F2658D" w:rsidRDefault="00016D3E" w:rsidP="00807C6F">
      <w:pPr>
        <w:jc w:val="both"/>
      </w:pPr>
    </w:p>
    <w:p w:rsidR="00E952E5" w:rsidRPr="00F2658D" w:rsidRDefault="00E952E5" w:rsidP="00807C6F">
      <w:pPr>
        <w:jc w:val="both"/>
      </w:pPr>
      <w:r w:rsidRPr="00F2658D">
        <w:t xml:space="preserve">En ce qui concerne les conventions </w:t>
      </w:r>
      <w:r w:rsidR="00AA5321" w:rsidRPr="00F2658D">
        <w:t xml:space="preserve">fiscales </w:t>
      </w:r>
      <w:r w:rsidRPr="00F2658D">
        <w:t>con</w:t>
      </w:r>
      <w:r w:rsidR="00A92428" w:rsidRPr="00F2658D">
        <w:t xml:space="preserve">clues par le Luxembourg avec l’Arménie, le Bahreïn, le Qatar, </w:t>
      </w:r>
      <w:r w:rsidRPr="00F2658D">
        <w:t xml:space="preserve">Monaco et </w:t>
      </w:r>
      <w:r w:rsidR="00A92428" w:rsidRPr="00F2658D">
        <w:t xml:space="preserve">le </w:t>
      </w:r>
      <w:r w:rsidRPr="00F2658D">
        <w:t xml:space="preserve">Liechtenstein, il y a lieu de noter que celles-ci s’inscrivent dans le cadre des efforts effectués ces dernières années par le Gouvernement luxembourgeois en vue de compléter progressivement son réseau de conventions fiscales, qui </w:t>
      </w:r>
      <w:r w:rsidR="00545E70" w:rsidRPr="00F2658D">
        <w:t xml:space="preserve">couvre actuellement 57 pays et qui </w:t>
      </w:r>
      <w:r w:rsidRPr="00F2658D">
        <w:t>constitue un élément indispensable pour le développement économique du</w:t>
      </w:r>
      <w:r w:rsidR="00AA5321" w:rsidRPr="00F2658D">
        <w:t xml:space="preserve"> </w:t>
      </w:r>
      <w:r w:rsidRPr="00F2658D">
        <w:t>Luxembourg.</w:t>
      </w:r>
    </w:p>
    <w:p w:rsidR="00E952E5" w:rsidRPr="00F2658D" w:rsidRDefault="00E952E5" w:rsidP="00807C6F">
      <w:pPr>
        <w:jc w:val="both"/>
      </w:pPr>
    </w:p>
    <w:p w:rsidR="00E952E5" w:rsidRPr="00F2658D" w:rsidRDefault="00A901A3" w:rsidP="00807C6F">
      <w:pPr>
        <w:jc w:val="both"/>
      </w:pPr>
      <w:r w:rsidRPr="00F2658D">
        <w:t xml:space="preserve">Il importe de relever que </w:t>
      </w:r>
      <w:r w:rsidR="00E952E5" w:rsidRPr="00F2658D">
        <w:t>de manière générale, une telle Convention a pour objet, d’une part, l’élimination de la double imposition juridique, à savoi</w:t>
      </w:r>
      <w:r w:rsidR="00545E70" w:rsidRPr="00F2658D">
        <w:t>r celle résultant du fait qu’un même contribuable serait</w:t>
      </w:r>
      <w:r w:rsidR="00E952E5" w:rsidRPr="00F2658D">
        <w:t xml:space="preserve"> imposé au titre d’un même revenu ou d’une même fortune par plus d’un Etat, et d’autre part, de prévenir la fraude fiscale.</w:t>
      </w:r>
    </w:p>
    <w:p w:rsidR="00E952E5" w:rsidRPr="00F2658D" w:rsidRDefault="00E952E5" w:rsidP="00807C6F">
      <w:pPr>
        <w:jc w:val="both"/>
      </w:pPr>
    </w:p>
    <w:p w:rsidR="00E952E5" w:rsidRPr="00F2658D" w:rsidRDefault="00E952E5" w:rsidP="00807C6F">
      <w:pPr>
        <w:jc w:val="both"/>
      </w:pPr>
      <w:r w:rsidRPr="00F2658D">
        <w:t xml:space="preserve">Ces conventions serviront ainsi à renforcer la compétitivité économique du Luxembourg dans divers domaines: industrie, construction, transports, finance et assurance, pour </w:t>
      </w:r>
      <w:r w:rsidR="00545E70" w:rsidRPr="00F2658D">
        <w:t>ne</w:t>
      </w:r>
      <w:r w:rsidRPr="00F2658D">
        <w:t xml:space="preserve"> citer que les plus importants.</w:t>
      </w:r>
    </w:p>
    <w:p w:rsidR="00E952E5" w:rsidRPr="00F2658D" w:rsidRDefault="00E952E5" w:rsidP="00807C6F">
      <w:pPr>
        <w:jc w:val="both"/>
      </w:pPr>
    </w:p>
    <w:p w:rsidR="00E952E5" w:rsidRPr="00F2658D" w:rsidRDefault="00E952E5" w:rsidP="00807C6F">
      <w:pPr>
        <w:jc w:val="both"/>
      </w:pPr>
      <w:r w:rsidRPr="00F2658D">
        <w:t xml:space="preserve">Afin d’assurer que l’échange de renseignements auquel l’Etat luxembourgeois s’est engagé </w:t>
      </w:r>
      <w:r w:rsidR="00545E70" w:rsidRPr="00F2658D">
        <w:t xml:space="preserve">dans ces conventions </w:t>
      </w:r>
      <w:r w:rsidRPr="00F2658D">
        <w:t xml:space="preserve">puisse être exécuté de façon efficace et dans un cadre légal </w:t>
      </w:r>
      <w:r w:rsidR="00545E70" w:rsidRPr="00F2658D">
        <w:t>précis</w:t>
      </w:r>
      <w:r w:rsidRPr="00F2658D">
        <w:t xml:space="preserve">, une adaptation tant des procédures internes des administrations fiscales concernées </w:t>
      </w:r>
      <w:r w:rsidR="00545E70" w:rsidRPr="00F2658D">
        <w:t>par l’échange de renseignements</w:t>
      </w:r>
      <w:r w:rsidRPr="00F2658D">
        <w:t xml:space="preserve"> que des voies de recours contre les décisions pris</w:t>
      </w:r>
      <w:r w:rsidR="00545E70" w:rsidRPr="00F2658D">
        <w:t>es au courant de ces procédures</w:t>
      </w:r>
      <w:r w:rsidRPr="00F2658D">
        <w:t xml:space="preserve"> s’est avérée nécessaire.</w:t>
      </w:r>
    </w:p>
    <w:p w:rsidR="00C433FC" w:rsidRPr="00F2658D" w:rsidRDefault="00C433FC" w:rsidP="00C433FC">
      <w:pPr>
        <w:jc w:val="both"/>
      </w:pPr>
      <w:bookmarkStart w:id="1" w:name="11"/>
      <w:bookmarkEnd w:id="1"/>
    </w:p>
    <w:sectPr w:rsidR="00C433FC" w:rsidRPr="00F2658D" w:rsidSect="00C433F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6A" w:rsidRDefault="004C4C6A">
      <w:r>
        <w:separator/>
      </w:r>
    </w:p>
  </w:endnote>
  <w:endnote w:type="continuationSeparator" w:id="0">
    <w:p w:rsidR="004C4C6A" w:rsidRDefault="004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1C" w:rsidRDefault="005C59D7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96E1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C2605">
      <w:rPr>
        <w:rStyle w:val="Numrodepage"/>
        <w:noProof/>
      </w:rPr>
      <w:t>20</w:t>
    </w:r>
    <w:r>
      <w:rPr>
        <w:rStyle w:val="Numrodepage"/>
      </w:rPr>
      <w:fldChar w:fldCharType="end"/>
    </w:r>
  </w:p>
  <w:p w:rsidR="00196E1C" w:rsidRDefault="00196E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1C" w:rsidRDefault="005C59D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205">
      <w:rPr>
        <w:noProof/>
      </w:rPr>
      <w:t>2</w:t>
    </w:r>
    <w:r>
      <w:fldChar w:fldCharType="end"/>
    </w:r>
  </w:p>
  <w:p w:rsidR="00196E1C" w:rsidRDefault="00196E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40" w:rsidRDefault="005C59D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A2D">
      <w:rPr>
        <w:noProof/>
      </w:rPr>
      <w:t>1</w:t>
    </w:r>
    <w:r>
      <w:fldChar w:fldCharType="end"/>
    </w:r>
  </w:p>
  <w:p w:rsidR="000B1440" w:rsidRDefault="000B14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6A" w:rsidRDefault="004C4C6A">
      <w:r>
        <w:separator/>
      </w:r>
    </w:p>
  </w:footnote>
  <w:footnote w:type="continuationSeparator" w:id="0">
    <w:p w:rsidR="004C4C6A" w:rsidRDefault="004C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EA2A4E"/>
    <w:multiLevelType w:val="hybridMultilevel"/>
    <w:tmpl w:val="326608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2398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2719A"/>
    <w:multiLevelType w:val="hybridMultilevel"/>
    <w:tmpl w:val="6484B7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E73023"/>
    <w:multiLevelType w:val="multilevel"/>
    <w:tmpl w:val="1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4A89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4330E"/>
    <w:multiLevelType w:val="hybridMultilevel"/>
    <w:tmpl w:val="20B4205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LU" w:vendorID="64" w:dllVersion="131078" w:nlCheck="1" w:checkStyle="1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A32"/>
    <w:rsid w:val="00016D3E"/>
    <w:rsid w:val="000454D1"/>
    <w:rsid w:val="00045E9A"/>
    <w:rsid w:val="00062144"/>
    <w:rsid w:val="00082948"/>
    <w:rsid w:val="00085D7A"/>
    <w:rsid w:val="0009225F"/>
    <w:rsid w:val="00094F61"/>
    <w:rsid w:val="0009778E"/>
    <w:rsid w:val="000B1440"/>
    <w:rsid w:val="000B314F"/>
    <w:rsid w:val="000B7901"/>
    <w:rsid w:val="000C015B"/>
    <w:rsid w:val="000C0741"/>
    <w:rsid w:val="000C2368"/>
    <w:rsid w:val="000E0B17"/>
    <w:rsid w:val="000E0BEB"/>
    <w:rsid w:val="000E3017"/>
    <w:rsid w:val="000F235C"/>
    <w:rsid w:val="000F6B32"/>
    <w:rsid w:val="0010429F"/>
    <w:rsid w:val="00104322"/>
    <w:rsid w:val="00106DD8"/>
    <w:rsid w:val="001413A5"/>
    <w:rsid w:val="00146492"/>
    <w:rsid w:val="0014732B"/>
    <w:rsid w:val="001520DD"/>
    <w:rsid w:val="0016070E"/>
    <w:rsid w:val="0016468D"/>
    <w:rsid w:val="001803ED"/>
    <w:rsid w:val="00196E1C"/>
    <w:rsid w:val="001A4981"/>
    <w:rsid w:val="001E3D45"/>
    <w:rsid w:val="001F2E92"/>
    <w:rsid w:val="001F4514"/>
    <w:rsid w:val="001F58EA"/>
    <w:rsid w:val="00205B61"/>
    <w:rsid w:val="002375B3"/>
    <w:rsid w:val="002607D7"/>
    <w:rsid w:val="00264830"/>
    <w:rsid w:val="00270E1F"/>
    <w:rsid w:val="00273E07"/>
    <w:rsid w:val="002843C2"/>
    <w:rsid w:val="00286F5E"/>
    <w:rsid w:val="00291CF0"/>
    <w:rsid w:val="002930A6"/>
    <w:rsid w:val="00295D6E"/>
    <w:rsid w:val="002A2401"/>
    <w:rsid w:val="002A698F"/>
    <w:rsid w:val="002D1503"/>
    <w:rsid w:val="002D2118"/>
    <w:rsid w:val="002E3205"/>
    <w:rsid w:val="002E4461"/>
    <w:rsid w:val="002F0A29"/>
    <w:rsid w:val="002F2FDF"/>
    <w:rsid w:val="002F59F0"/>
    <w:rsid w:val="003112DD"/>
    <w:rsid w:val="00313BA0"/>
    <w:rsid w:val="003144C2"/>
    <w:rsid w:val="00332A6D"/>
    <w:rsid w:val="00332D1E"/>
    <w:rsid w:val="00351106"/>
    <w:rsid w:val="0035543B"/>
    <w:rsid w:val="0037485A"/>
    <w:rsid w:val="00374DA1"/>
    <w:rsid w:val="0038370E"/>
    <w:rsid w:val="0039495B"/>
    <w:rsid w:val="00395BB7"/>
    <w:rsid w:val="003A097D"/>
    <w:rsid w:val="003A0FB1"/>
    <w:rsid w:val="003B44C1"/>
    <w:rsid w:val="003C53AF"/>
    <w:rsid w:val="003D08BC"/>
    <w:rsid w:val="003E325C"/>
    <w:rsid w:val="003F3D8C"/>
    <w:rsid w:val="003F4888"/>
    <w:rsid w:val="00402788"/>
    <w:rsid w:val="004422ED"/>
    <w:rsid w:val="00442408"/>
    <w:rsid w:val="00451B2E"/>
    <w:rsid w:val="00451FA0"/>
    <w:rsid w:val="004905E5"/>
    <w:rsid w:val="004A53CE"/>
    <w:rsid w:val="004B6A90"/>
    <w:rsid w:val="004B6B82"/>
    <w:rsid w:val="004B7793"/>
    <w:rsid w:val="004C38B8"/>
    <w:rsid w:val="004C4C6A"/>
    <w:rsid w:val="004E002C"/>
    <w:rsid w:val="004E24D2"/>
    <w:rsid w:val="004E410B"/>
    <w:rsid w:val="004E7002"/>
    <w:rsid w:val="004E7B22"/>
    <w:rsid w:val="004E7C0B"/>
    <w:rsid w:val="0052333F"/>
    <w:rsid w:val="00523992"/>
    <w:rsid w:val="00525866"/>
    <w:rsid w:val="00545E70"/>
    <w:rsid w:val="005466E5"/>
    <w:rsid w:val="005505B0"/>
    <w:rsid w:val="0055318F"/>
    <w:rsid w:val="00557267"/>
    <w:rsid w:val="00562F20"/>
    <w:rsid w:val="00572C4E"/>
    <w:rsid w:val="0057367C"/>
    <w:rsid w:val="00584526"/>
    <w:rsid w:val="00590E9F"/>
    <w:rsid w:val="005A194D"/>
    <w:rsid w:val="005B6401"/>
    <w:rsid w:val="005C0772"/>
    <w:rsid w:val="005C211A"/>
    <w:rsid w:val="005C59D7"/>
    <w:rsid w:val="005D04A3"/>
    <w:rsid w:val="005D4A39"/>
    <w:rsid w:val="005D7F2B"/>
    <w:rsid w:val="005E7FCF"/>
    <w:rsid w:val="00613158"/>
    <w:rsid w:val="006142E0"/>
    <w:rsid w:val="006344A3"/>
    <w:rsid w:val="00654DC6"/>
    <w:rsid w:val="00655AB5"/>
    <w:rsid w:val="0065627F"/>
    <w:rsid w:val="00660F43"/>
    <w:rsid w:val="00691982"/>
    <w:rsid w:val="006A1B6B"/>
    <w:rsid w:val="006C53D4"/>
    <w:rsid w:val="006D1183"/>
    <w:rsid w:val="006D3F57"/>
    <w:rsid w:val="006E46AB"/>
    <w:rsid w:val="00705BE1"/>
    <w:rsid w:val="007061ED"/>
    <w:rsid w:val="00711B4F"/>
    <w:rsid w:val="00717043"/>
    <w:rsid w:val="00726DF5"/>
    <w:rsid w:val="00730D75"/>
    <w:rsid w:val="00744845"/>
    <w:rsid w:val="00755C61"/>
    <w:rsid w:val="007660B8"/>
    <w:rsid w:val="0076748C"/>
    <w:rsid w:val="00772CF3"/>
    <w:rsid w:val="007758F9"/>
    <w:rsid w:val="0077649F"/>
    <w:rsid w:val="007955BA"/>
    <w:rsid w:val="007A1CB3"/>
    <w:rsid w:val="007B0848"/>
    <w:rsid w:val="007C26FF"/>
    <w:rsid w:val="007D1443"/>
    <w:rsid w:val="007E2A30"/>
    <w:rsid w:val="007F0428"/>
    <w:rsid w:val="007F72F1"/>
    <w:rsid w:val="00800281"/>
    <w:rsid w:val="00807C6F"/>
    <w:rsid w:val="008134FD"/>
    <w:rsid w:val="00814C86"/>
    <w:rsid w:val="00817C14"/>
    <w:rsid w:val="00820132"/>
    <w:rsid w:val="00823E77"/>
    <w:rsid w:val="00827210"/>
    <w:rsid w:val="008351FC"/>
    <w:rsid w:val="00841253"/>
    <w:rsid w:val="00843849"/>
    <w:rsid w:val="0086400F"/>
    <w:rsid w:val="008809DF"/>
    <w:rsid w:val="008856B8"/>
    <w:rsid w:val="0088603E"/>
    <w:rsid w:val="008870DD"/>
    <w:rsid w:val="00887A3F"/>
    <w:rsid w:val="008947C5"/>
    <w:rsid w:val="008A11A0"/>
    <w:rsid w:val="008A255E"/>
    <w:rsid w:val="008C019A"/>
    <w:rsid w:val="008C4556"/>
    <w:rsid w:val="008C5E48"/>
    <w:rsid w:val="008D0546"/>
    <w:rsid w:val="008D10F7"/>
    <w:rsid w:val="008E7778"/>
    <w:rsid w:val="008F466C"/>
    <w:rsid w:val="009056EC"/>
    <w:rsid w:val="00906311"/>
    <w:rsid w:val="00907777"/>
    <w:rsid w:val="00930ECC"/>
    <w:rsid w:val="00945014"/>
    <w:rsid w:val="0095316E"/>
    <w:rsid w:val="00953E7F"/>
    <w:rsid w:val="0096044F"/>
    <w:rsid w:val="009627FA"/>
    <w:rsid w:val="009701EB"/>
    <w:rsid w:val="009707F0"/>
    <w:rsid w:val="009905B0"/>
    <w:rsid w:val="00995E9C"/>
    <w:rsid w:val="009A4287"/>
    <w:rsid w:val="009B3924"/>
    <w:rsid w:val="009C2605"/>
    <w:rsid w:val="009C36E5"/>
    <w:rsid w:val="009C3C9A"/>
    <w:rsid w:val="009C4D56"/>
    <w:rsid w:val="009D3849"/>
    <w:rsid w:val="009F30A8"/>
    <w:rsid w:val="009F7712"/>
    <w:rsid w:val="00A10F4C"/>
    <w:rsid w:val="00A17352"/>
    <w:rsid w:val="00A36996"/>
    <w:rsid w:val="00A4073B"/>
    <w:rsid w:val="00A43B0D"/>
    <w:rsid w:val="00A46150"/>
    <w:rsid w:val="00A52428"/>
    <w:rsid w:val="00A77C09"/>
    <w:rsid w:val="00A82D86"/>
    <w:rsid w:val="00A84D25"/>
    <w:rsid w:val="00A854BF"/>
    <w:rsid w:val="00A901A3"/>
    <w:rsid w:val="00A92428"/>
    <w:rsid w:val="00AA138E"/>
    <w:rsid w:val="00AA1C5E"/>
    <w:rsid w:val="00AA5321"/>
    <w:rsid w:val="00AB02DA"/>
    <w:rsid w:val="00AC4A9E"/>
    <w:rsid w:val="00AE2CD7"/>
    <w:rsid w:val="00AE3E00"/>
    <w:rsid w:val="00AF1366"/>
    <w:rsid w:val="00AF4646"/>
    <w:rsid w:val="00AF67C3"/>
    <w:rsid w:val="00B02CD4"/>
    <w:rsid w:val="00B0493A"/>
    <w:rsid w:val="00B06CDD"/>
    <w:rsid w:val="00B1521C"/>
    <w:rsid w:val="00B178EE"/>
    <w:rsid w:val="00B20F53"/>
    <w:rsid w:val="00B2165B"/>
    <w:rsid w:val="00B24D7F"/>
    <w:rsid w:val="00B37273"/>
    <w:rsid w:val="00B43F8B"/>
    <w:rsid w:val="00B467F4"/>
    <w:rsid w:val="00B53917"/>
    <w:rsid w:val="00B56817"/>
    <w:rsid w:val="00B62151"/>
    <w:rsid w:val="00B83EA1"/>
    <w:rsid w:val="00BA4C84"/>
    <w:rsid w:val="00BC65B4"/>
    <w:rsid w:val="00BC675C"/>
    <w:rsid w:val="00BE06FE"/>
    <w:rsid w:val="00BF51BF"/>
    <w:rsid w:val="00C136B8"/>
    <w:rsid w:val="00C2354D"/>
    <w:rsid w:val="00C32201"/>
    <w:rsid w:val="00C33139"/>
    <w:rsid w:val="00C369B0"/>
    <w:rsid w:val="00C41DAD"/>
    <w:rsid w:val="00C433FC"/>
    <w:rsid w:val="00C5015C"/>
    <w:rsid w:val="00C631AD"/>
    <w:rsid w:val="00C65A0D"/>
    <w:rsid w:val="00C76998"/>
    <w:rsid w:val="00C86F2C"/>
    <w:rsid w:val="00CB0EAD"/>
    <w:rsid w:val="00CB4CCF"/>
    <w:rsid w:val="00CB7899"/>
    <w:rsid w:val="00CC2A70"/>
    <w:rsid w:val="00CD1046"/>
    <w:rsid w:val="00CE041C"/>
    <w:rsid w:val="00CE6AF1"/>
    <w:rsid w:val="00CF16A9"/>
    <w:rsid w:val="00D10A7C"/>
    <w:rsid w:val="00D11DA9"/>
    <w:rsid w:val="00D1682D"/>
    <w:rsid w:val="00D22C42"/>
    <w:rsid w:val="00D33DD8"/>
    <w:rsid w:val="00D41BE0"/>
    <w:rsid w:val="00D4425F"/>
    <w:rsid w:val="00D4647C"/>
    <w:rsid w:val="00D50557"/>
    <w:rsid w:val="00D640BB"/>
    <w:rsid w:val="00D769A3"/>
    <w:rsid w:val="00D93471"/>
    <w:rsid w:val="00DA2041"/>
    <w:rsid w:val="00DA3510"/>
    <w:rsid w:val="00DD1C7E"/>
    <w:rsid w:val="00DE09A7"/>
    <w:rsid w:val="00DE406A"/>
    <w:rsid w:val="00E15A2D"/>
    <w:rsid w:val="00E240E4"/>
    <w:rsid w:val="00E76559"/>
    <w:rsid w:val="00E84A64"/>
    <w:rsid w:val="00E92357"/>
    <w:rsid w:val="00E94ED6"/>
    <w:rsid w:val="00E952E5"/>
    <w:rsid w:val="00EA49FB"/>
    <w:rsid w:val="00EB04C1"/>
    <w:rsid w:val="00EE5B8E"/>
    <w:rsid w:val="00F023CB"/>
    <w:rsid w:val="00F1196A"/>
    <w:rsid w:val="00F16C4C"/>
    <w:rsid w:val="00F228DE"/>
    <w:rsid w:val="00F2658D"/>
    <w:rsid w:val="00F437DE"/>
    <w:rsid w:val="00F50943"/>
    <w:rsid w:val="00F5382B"/>
    <w:rsid w:val="00F744A4"/>
    <w:rsid w:val="00F816D3"/>
    <w:rsid w:val="00F93E28"/>
    <w:rsid w:val="00F955BA"/>
    <w:rsid w:val="00FA70A1"/>
    <w:rsid w:val="00FB13CC"/>
    <w:rsid w:val="00FB2AD8"/>
    <w:rsid w:val="00FE1ED9"/>
    <w:rsid w:val="00FE45D0"/>
    <w:rsid w:val="00FF275A"/>
    <w:rsid w:val="00FF41E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E840F2-DD22-497C-B505-E6D13A11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link w:val="NotedebasdepageCar"/>
    <w:uiPriority w:val="99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uiPriority w:val="99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styleId="Sansinterligne">
    <w:name w:val="No Spacing"/>
    <w:uiPriority w:val="1"/>
    <w:qFormat/>
    <w:rsid w:val="00B62151"/>
    <w:rPr>
      <w:lang w:val="fr-FR" w:eastAsia="fr-FR"/>
    </w:rPr>
  </w:style>
  <w:style w:type="paragraph" w:customStyle="1" w:styleId="MediumGrid1-Accent21">
    <w:name w:val="Medium Grid 1 - Accent 21"/>
    <w:basedOn w:val="Normal"/>
    <w:uiPriority w:val="34"/>
    <w:qFormat/>
    <w:rsid w:val="00977210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977210"/>
    <w:rPr>
      <w:i/>
    </w:rPr>
  </w:style>
  <w:style w:type="character" w:customStyle="1" w:styleId="MediumGrid2-Accent2Char">
    <w:name w:val="Medium Grid 2 - Accent 2 Char"/>
    <w:basedOn w:val="Policepardfaut"/>
    <w:link w:val="MediumGrid2-Accent21"/>
    <w:uiPriority w:val="29"/>
    <w:rsid w:val="00977210"/>
    <w:rPr>
      <w:i/>
      <w:sz w:val="24"/>
      <w:szCs w:val="24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MediumGrid3-Accent2Char">
    <w:name w:val="Medium Grid 3 - Accent 2 Char"/>
    <w:basedOn w:val="Policepardfaut"/>
    <w:link w:val="MediumGrid3-Accent21"/>
    <w:uiPriority w:val="30"/>
    <w:rsid w:val="00977210"/>
    <w:rPr>
      <w:b/>
      <w:i/>
      <w:sz w:val="24"/>
    </w:rPr>
  </w:style>
  <w:style w:type="character" w:styleId="Emphaseple">
    <w:name w:val="Subtle Emphasis"/>
    <w:uiPriority w:val="19"/>
    <w:qFormat/>
    <w:rsid w:val="0097721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Default">
    <w:name w:val="Default"/>
    <w:rsid w:val="00D1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LU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0A7C"/>
    <w:rPr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DP6072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6072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/sftpecos/Dossiers_parlementaires/6072/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14EBF40-D9F4-45E2-ADB0-65ECC0795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BDF0F-6C4A-4EEF-A0D7-7BE58DB5D461}"/>
</file>

<file path=customXml/itemProps3.xml><?xml version="1.0" encoding="utf-8"?>
<ds:datastoreItem xmlns:ds="http://schemas.openxmlformats.org/officeDocument/2006/customXml" ds:itemID="{A8AA8EF6-F550-44F6-A65D-C0B652AD3550}"/>
</file>

<file path=customXml/itemProps4.xml><?xml version="1.0" encoding="utf-8"?>
<ds:datastoreItem xmlns:ds="http://schemas.openxmlformats.org/officeDocument/2006/customXml" ds:itemID="{4E372BC5-5C93-44BE-8DE1-22F925022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9480</Characters>
  <Application>Microsoft Office Word</Application>
  <DocSecurity>4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2010-03-04T13:40:00Z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