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46" w:rsidRPr="00B767B2" w:rsidRDefault="00C87F46" w:rsidP="00C87F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lang w:val="fr-LU" w:bidi="ar-SA"/>
        </w:rPr>
      </w:pPr>
      <w:bookmarkStart w:id="0" w:name="_GoBack"/>
      <w:bookmarkEnd w:id="0"/>
      <w:r w:rsidRPr="00B767B2">
        <w:rPr>
          <w:rFonts w:ascii="Arial" w:hAnsi="Arial" w:cs="Arial"/>
          <w:b/>
          <w:sz w:val="32"/>
          <w:szCs w:val="32"/>
          <w:lang w:val="fr-LU" w:bidi="ar-SA"/>
        </w:rPr>
        <w:t>N° 6071</w:t>
      </w:r>
    </w:p>
    <w:p w:rsidR="00C87F46" w:rsidRPr="00B767B2" w:rsidRDefault="00B767B2" w:rsidP="00C87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de-LU" w:eastAsia="fr-LU" w:bidi="ar-SA"/>
        </w:rPr>
      </w:pPr>
      <w:r>
        <w:rPr>
          <w:rFonts w:ascii="Arial" w:hAnsi="Arial" w:cs="Arial"/>
          <w:b/>
          <w:bCs/>
          <w:sz w:val="36"/>
          <w:szCs w:val="36"/>
          <w:lang w:val="de-LU" w:eastAsia="fr-LU" w:bidi="ar-SA"/>
        </w:rPr>
        <w:t>PROJET D</w:t>
      </w:r>
      <w:r w:rsidR="00C87F46" w:rsidRPr="00B767B2">
        <w:rPr>
          <w:rFonts w:ascii="Arial" w:hAnsi="Arial" w:cs="Arial"/>
          <w:b/>
          <w:bCs/>
          <w:sz w:val="36"/>
          <w:szCs w:val="36"/>
          <w:lang w:val="de-LU" w:eastAsia="fr-LU" w:bidi="ar-SA"/>
        </w:rPr>
        <w:t>E LOI</w:t>
      </w:r>
    </w:p>
    <w:p w:rsidR="00C87F46" w:rsidRPr="00B767B2" w:rsidRDefault="00C87F46" w:rsidP="00C87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de-LU" w:eastAsia="fr-LU" w:bidi="ar-SA"/>
        </w:rPr>
      </w:pPr>
    </w:p>
    <w:p w:rsidR="00C87F46" w:rsidRPr="00C053F6" w:rsidRDefault="00C87F46" w:rsidP="00C87F46">
      <w:pPr>
        <w:autoSpaceDE w:val="0"/>
        <w:autoSpaceDN w:val="0"/>
        <w:adjustRightInd w:val="0"/>
        <w:ind w:left="1560" w:right="1417"/>
        <w:jc w:val="both"/>
        <w:rPr>
          <w:rFonts w:ascii="Arial" w:hAnsi="Arial" w:cs="Arial"/>
          <w:b/>
          <w:bCs/>
          <w:lang w:val="fr-LU" w:eastAsia="fr-LU" w:bidi="ar-SA"/>
        </w:rPr>
      </w:pPr>
      <w:r w:rsidRPr="00C053F6">
        <w:rPr>
          <w:rFonts w:ascii="Arial" w:hAnsi="Arial" w:cs="Arial"/>
          <w:b/>
          <w:bCs/>
          <w:lang w:val="fr-LU" w:eastAsia="fr-LU" w:bidi="ar-SA"/>
        </w:rPr>
        <w:t xml:space="preserve">relatif aux mesures d’achèvement </w:t>
      </w:r>
    </w:p>
    <w:p w:rsidR="00C87F46" w:rsidRPr="00C053F6" w:rsidRDefault="00B767B2" w:rsidP="00B767B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-LU" w:eastAsia="fr-LU" w:bidi="ar-SA"/>
        </w:rPr>
      </w:pPr>
      <w:r w:rsidRPr="00C053F6">
        <w:rPr>
          <w:rFonts w:ascii="Arial" w:hAnsi="Arial" w:cs="Arial"/>
          <w:b/>
          <w:bCs/>
          <w:lang w:val="fr-LU" w:eastAsia="fr-LU" w:bidi="ar-SA"/>
        </w:rPr>
        <w:t xml:space="preserve">  du </w:t>
      </w:r>
      <w:r w:rsidR="00C87F46" w:rsidRPr="00C053F6">
        <w:rPr>
          <w:rFonts w:ascii="Arial" w:hAnsi="Arial" w:cs="Arial"/>
          <w:b/>
          <w:bCs/>
          <w:lang w:val="fr-LU" w:eastAsia="fr-LU" w:bidi="ar-SA"/>
        </w:rPr>
        <w:t xml:space="preserve">Musée de la Forteresse de Luxembourg dans le réduit du Fort Thüngen et </w:t>
      </w:r>
    </w:p>
    <w:p w:rsidR="00C87F46" w:rsidRPr="00C053F6" w:rsidRDefault="00B767B2" w:rsidP="00B767B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-LU" w:eastAsia="fr-LU" w:bidi="ar-SA"/>
        </w:rPr>
      </w:pPr>
      <w:r w:rsidRPr="00C053F6">
        <w:rPr>
          <w:rFonts w:ascii="Arial" w:hAnsi="Arial" w:cs="Arial"/>
          <w:b/>
          <w:bCs/>
          <w:lang w:val="fr-LU" w:eastAsia="fr-LU" w:bidi="ar-SA"/>
        </w:rPr>
        <w:t xml:space="preserve">  </w:t>
      </w:r>
      <w:r w:rsidR="00C87F46" w:rsidRPr="00C053F6">
        <w:rPr>
          <w:rFonts w:ascii="Arial" w:hAnsi="Arial" w:cs="Arial"/>
          <w:b/>
          <w:bCs/>
          <w:lang w:val="fr-LU" w:eastAsia="fr-LU" w:bidi="ar-SA"/>
        </w:rPr>
        <w:t>de la mise en valeur de certaines parties de la forteresse de Luxembourg</w:t>
      </w:r>
    </w:p>
    <w:p w:rsidR="00C87F46" w:rsidRPr="00B767B2" w:rsidRDefault="00C87F46" w:rsidP="00C87F46">
      <w:pPr>
        <w:autoSpaceDE w:val="0"/>
        <w:autoSpaceDN w:val="0"/>
        <w:adjustRightInd w:val="0"/>
        <w:ind w:left="1560" w:right="1417"/>
        <w:jc w:val="both"/>
        <w:rPr>
          <w:rFonts w:ascii="Arial" w:hAnsi="Arial" w:cs="Arial"/>
          <w:b/>
          <w:bCs/>
          <w:sz w:val="28"/>
          <w:szCs w:val="28"/>
          <w:lang w:val="fr-LU" w:eastAsia="fr-LU" w:bidi="ar-SA"/>
        </w:rPr>
      </w:pPr>
    </w:p>
    <w:p w:rsidR="00C87F46" w:rsidRPr="00B767B2" w:rsidRDefault="00C87F46" w:rsidP="00C87F46">
      <w:pPr>
        <w:autoSpaceDE w:val="0"/>
        <w:autoSpaceDN w:val="0"/>
        <w:adjustRightInd w:val="0"/>
        <w:ind w:left="1560" w:right="1417"/>
        <w:jc w:val="center"/>
        <w:rPr>
          <w:rFonts w:ascii="Arial" w:hAnsi="Arial" w:cs="Arial"/>
          <w:b/>
          <w:bCs/>
          <w:sz w:val="28"/>
          <w:szCs w:val="28"/>
          <w:lang w:val="fr-LU" w:eastAsia="fr-LU" w:bidi="ar-SA"/>
        </w:rPr>
      </w:pPr>
      <w:r w:rsidRPr="00B767B2">
        <w:rPr>
          <w:rFonts w:ascii="Arial" w:hAnsi="Arial" w:cs="Arial"/>
          <w:b/>
          <w:bCs/>
          <w:sz w:val="28"/>
          <w:szCs w:val="28"/>
          <w:lang w:val="fr-LU" w:eastAsia="fr-LU" w:bidi="ar-SA"/>
        </w:rPr>
        <w:t>* * *</w:t>
      </w: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Le présent projet de loi a pour objet de permettre:</w:t>
      </w: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– l’achèvement des travaux de transformation du réduit du Fort Thüngen en Musée de la Forteresse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 xml:space="preserve">de 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Luxembourg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;</w:t>
      </w:r>
    </w:p>
    <w:p w:rsid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– l’achèvement de la mise en valeur de certaines parties de la forteresse de Luxembourg, ceci en les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intégrant dans l’itinéraire culturel, dénommé circuit Vauban.</w:t>
      </w: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Aussi les travaux prévus par la loi du 17 février 1997 relative à l’installation d’un Musée de la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Forteresse de Luxembourg dans le réduit du Fort Thüngen et celle du 25 avril 2003 relative à la restauration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et à la mise en valeur de certaines parties de la forteresse de Luxembourg pourront-ils être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menés à bon terme.</w:t>
      </w:r>
    </w:p>
    <w:p w:rsidR="00510979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Une nouvelle loi est devenue nécessaire du fait d’une sous-estimation des dépenses prévues par la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loi de 2003. Par la suite, une gestion insuffisante du projet par le maître de l’ouvrage s’y est ajoutée,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de sorte que les états financiers du projet, tels que dressés en 2008 à l’initiative du Ministère de la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Culture, de l’Enseignement supérieur et de la Recherche, avec l’appui d’un consultant externe, démontrent</w:t>
      </w:r>
      <w:r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 xml:space="preserve">un dépassement du seuil légal financier fixé par les deux lois précitées </w:t>
      </w: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L’actualisation de ce montant légal s’est faite selon la méthode habituellement appliquée par l’Administration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des bâtiments publics pour les projets de construction.</w:t>
      </w:r>
    </w:p>
    <w:p w:rsidR="00510979" w:rsidRDefault="00510979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Le présent projet de loi, faisant suite aux lois de 1997 et 2003 concernant à la fois le volet „réduit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du Fort Thüngen“ et le volet „certaines parties de la forteresse de Luxembourg“, pour des raisons de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transparence, continue à considérer ces deux volets comme faisant partie d’un ensemble et propose de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soumettre à l’autorisation du législateur le coût total, relatif aux deux volets, des nouvelles dépenses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à effectuer.</w:t>
      </w:r>
    </w:p>
    <w:p w:rsidR="001510AA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Divers travaux d’achèvement du Fort Thüngen et du circuit Vauban, de même que les travaux relatifs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à la muséographie du Musée de la Forteresse ne sont pas encore engagés à l’heure actuelle. La fixation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par voie législative d’un nouveau plafond financier doit ainsi tenir compte de la régularisation d’engagements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financiers déjà pris et de la conclusion de nouveaux contrats en vue de l’achèvement adéquat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 xml:space="preserve">de tout le projet. </w:t>
      </w:r>
    </w:p>
    <w:p w:rsidR="001510AA" w:rsidRDefault="001510AA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</w:p>
    <w:p w:rsidR="00B767B2" w:rsidRPr="00B767B2" w:rsidRDefault="00B767B2" w:rsidP="00B767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  <w:r w:rsidRPr="00B767B2">
        <w:rPr>
          <w:rFonts w:ascii="Arial" w:hAnsi="Arial" w:cs="Arial"/>
          <w:sz w:val="20"/>
          <w:szCs w:val="20"/>
          <w:lang w:val="fr-LU" w:eastAsia="fr-LU" w:bidi="ar-SA"/>
        </w:rPr>
        <w:t>Dans la suite des travaux déjà réalisés grâce aux deux lois précédentes, toutes les infrastructures et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 xml:space="preserve">installations nécessaires à la mise en valeur d’un patrimoine riche et important pour le 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Luxembourg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pourront ainsi être mises en place et remplir enfin leurs fonctionnalités culturelle, pédagogique et</w:t>
      </w:r>
      <w:r w:rsidR="00510979">
        <w:rPr>
          <w:rFonts w:ascii="Arial" w:hAnsi="Arial" w:cs="Arial"/>
          <w:sz w:val="20"/>
          <w:szCs w:val="20"/>
          <w:lang w:val="fr-LU" w:eastAsia="fr-LU" w:bidi="ar-SA"/>
        </w:rPr>
        <w:t xml:space="preserve"> </w:t>
      </w:r>
      <w:r w:rsidRPr="00B767B2">
        <w:rPr>
          <w:rFonts w:ascii="Arial" w:hAnsi="Arial" w:cs="Arial"/>
          <w:sz w:val="20"/>
          <w:szCs w:val="20"/>
          <w:lang w:val="fr-LU" w:eastAsia="fr-LU" w:bidi="ar-SA"/>
        </w:rPr>
        <w:t>touristique.</w:t>
      </w:r>
    </w:p>
    <w:p w:rsidR="00C87F46" w:rsidRPr="00510979" w:rsidRDefault="00C87F46" w:rsidP="005109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LU" w:eastAsia="fr-LU" w:bidi="ar-SA"/>
        </w:rPr>
      </w:pPr>
    </w:p>
    <w:sectPr w:rsidR="00C87F46" w:rsidRPr="00510979" w:rsidSect="00C87F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45" w:rsidRDefault="003F7845" w:rsidP="00C87F46">
      <w:r>
        <w:separator/>
      </w:r>
    </w:p>
  </w:endnote>
  <w:endnote w:type="continuationSeparator" w:id="0">
    <w:p w:rsidR="003F7845" w:rsidRDefault="003F7845" w:rsidP="00C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46" w:rsidRDefault="00C87F46">
    <w:pPr>
      <w:pStyle w:val="Pieddepage"/>
      <w:jc w:val="right"/>
    </w:pPr>
    <w:r>
      <w:fldChar w:fldCharType="begin"/>
    </w:r>
    <w:r>
      <w:instrText xml:space="preserve"> </w:instrText>
    </w:r>
    <w:r w:rsidR="00017D5E">
      <w:instrText>PAGE</w:instrText>
    </w:r>
    <w:r>
      <w:instrText xml:space="preserve">   \* MERGEFORMAT </w:instrText>
    </w:r>
    <w:r>
      <w:fldChar w:fldCharType="separate"/>
    </w:r>
    <w:r w:rsidR="00E12380">
      <w:rPr>
        <w:noProof/>
      </w:rPr>
      <w:t>1</w:t>
    </w:r>
    <w:r>
      <w:fldChar w:fldCharType="end"/>
    </w:r>
  </w:p>
  <w:p w:rsidR="00C87F46" w:rsidRDefault="00C87F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45" w:rsidRDefault="003F7845" w:rsidP="00C87F46">
      <w:r>
        <w:separator/>
      </w:r>
    </w:p>
  </w:footnote>
  <w:footnote w:type="continuationSeparator" w:id="0">
    <w:p w:rsidR="003F7845" w:rsidRDefault="003F7845" w:rsidP="00C8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65"/>
    <w:multiLevelType w:val="hybridMultilevel"/>
    <w:tmpl w:val="DD0A468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C4F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7E2A"/>
    <w:multiLevelType w:val="hybridMultilevel"/>
    <w:tmpl w:val="68D8BFBE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AD6"/>
    <w:multiLevelType w:val="hybridMultilevel"/>
    <w:tmpl w:val="04207738"/>
    <w:lvl w:ilvl="0" w:tplc="0946FC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6107"/>
    <w:multiLevelType w:val="hybridMultilevel"/>
    <w:tmpl w:val="FB6E46D8"/>
    <w:lvl w:ilvl="0" w:tplc="89C26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2E51"/>
    <w:multiLevelType w:val="hybridMultilevel"/>
    <w:tmpl w:val="848C594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4017"/>
    <w:multiLevelType w:val="hybridMultilevel"/>
    <w:tmpl w:val="87DC881E"/>
    <w:lvl w:ilvl="0" w:tplc="8A9E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557"/>
    <w:multiLevelType w:val="hybridMultilevel"/>
    <w:tmpl w:val="FD3EDE56"/>
    <w:lvl w:ilvl="0" w:tplc="A1F0E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27BA"/>
    <w:multiLevelType w:val="hybridMultilevel"/>
    <w:tmpl w:val="6E1C811C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F0B0F"/>
    <w:multiLevelType w:val="hybridMultilevel"/>
    <w:tmpl w:val="84900FC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3B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4CD9"/>
    <w:multiLevelType w:val="hybridMultilevel"/>
    <w:tmpl w:val="C0783CF0"/>
    <w:lvl w:ilvl="0" w:tplc="0001040C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5500086"/>
    <w:multiLevelType w:val="hybridMultilevel"/>
    <w:tmpl w:val="40102A72"/>
    <w:lvl w:ilvl="0" w:tplc="84FC3E08">
      <w:numFmt w:val="bullet"/>
      <w:lvlText w:val=""/>
      <w:lvlJc w:val="left"/>
      <w:pPr>
        <w:ind w:left="19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-Roman" w:hint="default"/>
      </w:rPr>
    </w:lvl>
    <w:lvl w:ilvl="2" w:tplc="1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-Roman" w:hint="default"/>
      </w:rPr>
    </w:lvl>
    <w:lvl w:ilvl="5" w:tplc="1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-Roman" w:hint="default"/>
      </w:rPr>
    </w:lvl>
    <w:lvl w:ilvl="8" w:tplc="1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10404F4"/>
    <w:multiLevelType w:val="hybridMultilevel"/>
    <w:tmpl w:val="829ABAD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4DF"/>
    <w:multiLevelType w:val="hybridMultilevel"/>
    <w:tmpl w:val="848C594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15C03"/>
    <w:multiLevelType w:val="hybridMultilevel"/>
    <w:tmpl w:val="58D4202A"/>
    <w:lvl w:ilvl="0" w:tplc="1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9D"/>
    <w:rsid w:val="00014B1A"/>
    <w:rsid w:val="00017D5E"/>
    <w:rsid w:val="00027D1D"/>
    <w:rsid w:val="000E5647"/>
    <w:rsid w:val="000F339E"/>
    <w:rsid w:val="001510AA"/>
    <w:rsid w:val="001823EE"/>
    <w:rsid w:val="001C281A"/>
    <w:rsid w:val="002C71F9"/>
    <w:rsid w:val="002F51D1"/>
    <w:rsid w:val="003075FA"/>
    <w:rsid w:val="0031037B"/>
    <w:rsid w:val="0032493B"/>
    <w:rsid w:val="003F7845"/>
    <w:rsid w:val="004923FA"/>
    <w:rsid w:val="004A72CD"/>
    <w:rsid w:val="00510979"/>
    <w:rsid w:val="00712317"/>
    <w:rsid w:val="00715454"/>
    <w:rsid w:val="00726449"/>
    <w:rsid w:val="007402FE"/>
    <w:rsid w:val="00762809"/>
    <w:rsid w:val="0078099F"/>
    <w:rsid w:val="007D2700"/>
    <w:rsid w:val="00882948"/>
    <w:rsid w:val="00952F30"/>
    <w:rsid w:val="00A53E60"/>
    <w:rsid w:val="00AE6F32"/>
    <w:rsid w:val="00B04313"/>
    <w:rsid w:val="00B26D0C"/>
    <w:rsid w:val="00B767B2"/>
    <w:rsid w:val="00BA4B53"/>
    <w:rsid w:val="00C053F6"/>
    <w:rsid w:val="00C5499D"/>
    <w:rsid w:val="00C87F46"/>
    <w:rsid w:val="00C940FB"/>
    <w:rsid w:val="00E12380"/>
    <w:rsid w:val="00E31EF8"/>
    <w:rsid w:val="00E67A12"/>
    <w:rsid w:val="00EA7A3B"/>
    <w:rsid w:val="00F275D9"/>
    <w:rsid w:val="00F5137A"/>
    <w:rsid w:val="00F810D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18847F-64A5-4C2E-9361-BF48CB9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02"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65A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C65A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65A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C65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C65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C65A0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C65A0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C65A0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C65A0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A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5A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5A02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65A0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5A02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65A0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65A0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A0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65A0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C65A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65A0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A0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C65A02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uiPriority w:val="22"/>
    <w:qFormat/>
    <w:rsid w:val="00C65A02"/>
    <w:rPr>
      <w:b/>
      <w:bCs/>
    </w:rPr>
  </w:style>
  <w:style w:type="character" w:styleId="Accentuation">
    <w:name w:val="Emphasis"/>
    <w:basedOn w:val="Policepardfaut"/>
    <w:uiPriority w:val="20"/>
    <w:qFormat/>
    <w:rsid w:val="00C65A0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semiHidden/>
    <w:qFormat/>
    <w:rsid w:val="00C65A02"/>
    <w:rPr>
      <w:szCs w:val="32"/>
    </w:rPr>
  </w:style>
  <w:style w:type="paragraph" w:customStyle="1" w:styleId="Listecouleur-Accent11">
    <w:name w:val="Liste couleur - Accent 11"/>
    <w:basedOn w:val="Normal"/>
    <w:uiPriority w:val="34"/>
    <w:qFormat/>
    <w:rsid w:val="00C65A02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C65A02"/>
    <w:rPr>
      <w:i/>
    </w:rPr>
  </w:style>
  <w:style w:type="character" w:customStyle="1" w:styleId="Grillecouleur-Accent1Car">
    <w:name w:val="Grille couleur - Accent 1 Car"/>
    <w:basedOn w:val="Policepardfaut"/>
    <w:link w:val="Grillecouleur-Accent11"/>
    <w:uiPriority w:val="29"/>
    <w:rsid w:val="00C65A02"/>
    <w:rPr>
      <w:i/>
      <w:sz w:val="24"/>
      <w:szCs w:val="24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C65A02"/>
    <w:pPr>
      <w:ind w:left="720" w:right="720"/>
    </w:pPr>
    <w:rPr>
      <w:b/>
      <w:i/>
      <w:szCs w:val="22"/>
    </w:rPr>
  </w:style>
  <w:style w:type="character" w:customStyle="1" w:styleId="Trameclaire-Accent2Car">
    <w:name w:val="Trame claire - Accent 2 Car"/>
    <w:basedOn w:val="Policepardfaut"/>
    <w:link w:val="Trameclaire-Accent21"/>
    <w:uiPriority w:val="30"/>
    <w:rsid w:val="00C65A02"/>
    <w:rPr>
      <w:b/>
      <w:i/>
      <w:sz w:val="24"/>
    </w:rPr>
  </w:style>
  <w:style w:type="character" w:styleId="Emphaseple">
    <w:name w:val="Subtle Emphasis"/>
    <w:uiPriority w:val="19"/>
    <w:qFormat/>
    <w:rsid w:val="00C65A02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C65A0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65A0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65A0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65A0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5A02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B706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0635"/>
    <w:rPr>
      <w:sz w:val="24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B706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635"/>
    <w:rPr>
      <w:sz w:val="24"/>
      <w:szCs w:val="24"/>
      <w:lang w:val="en-US" w:eastAsia="en-US" w:bidi="en-US"/>
    </w:rPr>
  </w:style>
  <w:style w:type="table" w:styleId="Grilledutableau">
    <w:name w:val="Table Grid"/>
    <w:basedOn w:val="TableauNormal"/>
    <w:uiPriority w:val="59"/>
    <w:rsid w:val="00113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semiHidden/>
    <w:rsid w:val="00D825DC"/>
    <w:rPr>
      <w:rFonts w:ascii="Times New Roman" w:eastAsia="Times New Roman" w:hAnsi="Times New Roman"/>
      <w:sz w:val="20"/>
      <w:szCs w:val="20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D825DC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semiHidden/>
    <w:rsid w:val="00D825D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6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26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D0662F5-F594-4DDF-8BB1-CA4A2631429B}"/>
</file>

<file path=customXml/itemProps2.xml><?xml version="1.0" encoding="utf-8"?>
<ds:datastoreItem xmlns:ds="http://schemas.openxmlformats.org/officeDocument/2006/customXml" ds:itemID="{8CBAC9D2-4678-4910-BDE9-F21DC0E4F142}"/>
</file>

<file path=customXml/itemProps3.xml><?xml version="1.0" encoding="utf-8"?>
<ds:datastoreItem xmlns:ds="http://schemas.openxmlformats.org/officeDocument/2006/customXml" ds:itemID="{7C36C486-7935-4C5F-9A8E-BFF0E6CA7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2274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2009-11-23T15:14:00Z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