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8AA" w:rsidRPr="005D6A0F" w:rsidRDefault="00F568AA" w:rsidP="00F568AA">
      <w:pPr>
        <w:jc w:val="center"/>
        <w:rPr>
          <w:rFonts w:ascii="Arial" w:hAnsi="Arial" w:cs="Arial"/>
          <w:b/>
          <w:lang w:val="fr-LU"/>
        </w:rPr>
      </w:pPr>
      <w:bookmarkStart w:id="0" w:name="_GoBack"/>
      <w:bookmarkEnd w:id="0"/>
      <w:r w:rsidRPr="005D6A0F">
        <w:rPr>
          <w:rFonts w:ascii="Arial" w:hAnsi="Arial" w:cs="Arial"/>
          <w:b/>
          <w:bCs/>
        </w:rPr>
        <w:t xml:space="preserve">N° 6055 </w:t>
      </w:r>
    </w:p>
    <w:p w:rsidR="00F568AA" w:rsidRPr="003C5245" w:rsidRDefault="00F568AA" w:rsidP="00F568AA">
      <w:pPr>
        <w:jc w:val="center"/>
        <w:rPr>
          <w:rFonts w:ascii="Arial" w:hAnsi="Arial" w:cs="Arial"/>
          <w:lang w:val="fr-LU"/>
        </w:rPr>
      </w:pPr>
    </w:p>
    <w:p w:rsidR="00F568AA" w:rsidRDefault="00F568AA" w:rsidP="00F568AA">
      <w:pPr>
        <w:pStyle w:val="Textebrut"/>
        <w:jc w:val="center"/>
        <w:rPr>
          <w:rFonts w:ascii="Arial" w:hAnsi="Arial" w:cs="Arial"/>
          <w:sz w:val="22"/>
          <w:szCs w:val="22"/>
          <w:lang w:val="fr-LU"/>
        </w:rPr>
      </w:pPr>
    </w:p>
    <w:p w:rsidR="00F568AA" w:rsidRPr="00385029" w:rsidRDefault="00F568AA" w:rsidP="00F568AA">
      <w:pPr>
        <w:autoSpaceDE w:val="0"/>
        <w:autoSpaceDN w:val="0"/>
        <w:adjustRightInd w:val="0"/>
        <w:jc w:val="center"/>
        <w:rPr>
          <w:rFonts w:ascii="Arial" w:hAnsi="Arial" w:cs="Arial"/>
          <w:b/>
          <w:bCs/>
        </w:rPr>
      </w:pPr>
      <w:r>
        <w:rPr>
          <w:rFonts w:ascii="Arial" w:hAnsi="Arial" w:cs="Arial"/>
          <w:b/>
          <w:bCs/>
        </w:rPr>
        <w:t xml:space="preserve">Projet de loi </w:t>
      </w:r>
      <w:r w:rsidRPr="00385029">
        <w:rPr>
          <w:rFonts w:ascii="Arial" w:hAnsi="Arial" w:cs="Arial"/>
          <w:b/>
          <w:bCs/>
        </w:rPr>
        <w:t>portant approbation de la Convention de La Haye du 19 octobre</w:t>
      </w:r>
      <w:r>
        <w:rPr>
          <w:rFonts w:ascii="Arial" w:hAnsi="Arial" w:cs="Arial"/>
          <w:b/>
          <w:bCs/>
        </w:rPr>
        <w:t xml:space="preserve"> </w:t>
      </w:r>
      <w:r w:rsidRPr="00385029">
        <w:rPr>
          <w:rFonts w:ascii="Arial" w:hAnsi="Arial" w:cs="Arial"/>
          <w:b/>
          <w:bCs/>
        </w:rPr>
        <w:t>1996 concernant la compétence, la loi applicable, la reconnaissance, l’exécution et la coopération en matière de responsabilité parentale et de mesures de protection des enfants</w:t>
      </w:r>
    </w:p>
    <w:p w:rsidR="00F568AA" w:rsidRDefault="00F568AA" w:rsidP="00F568AA">
      <w:pPr>
        <w:pStyle w:val="Textebrut"/>
        <w:jc w:val="center"/>
        <w:rPr>
          <w:rFonts w:ascii="Arial" w:hAnsi="Arial" w:cs="Arial"/>
          <w:sz w:val="22"/>
          <w:szCs w:val="22"/>
          <w:lang w:val="fr-LU"/>
        </w:rPr>
      </w:pPr>
    </w:p>
    <w:p w:rsidR="00F568AA" w:rsidRPr="003C5245" w:rsidRDefault="00F568AA" w:rsidP="00F568AA">
      <w:pPr>
        <w:pStyle w:val="Textebrut"/>
        <w:jc w:val="center"/>
        <w:rPr>
          <w:rFonts w:ascii="Arial" w:hAnsi="Arial" w:cs="Arial"/>
          <w:sz w:val="22"/>
          <w:szCs w:val="22"/>
          <w:lang w:val="fr-LU"/>
        </w:rPr>
      </w:pPr>
      <w:r w:rsidRPr="003C5245">
        <w:rPr>
          <w:rFonts w:ascii="Arial" w:hAnsi="Arial" w:cs="Arial"/>
          <w:sz w:val="22"/>
          <w:szCs w:val="22"/>
          <w:lang w:val="fr-LU"/>
        </w:rPr>
        <w:t>***</w:t>
      </w:r>
    </w:p>
    <w:p w:rsidR="00091405" w:rsidRPr="007B0932" w:rsidRDefault="00091405" w:rsidP="00041347">
      <w:pPr>
        <w:autoSpaceDE w:val="0"/>
        <w:autoSpaceDN w:val="0"/>
        <w:adjustRightInd w:val="0"/>
        <w:jc w:val="both"/>
        <w:rPr>
          <w:rFonts w:ascii="Arial" w:hAnsi="Arial" w:cs="Arial"/>
          <w:sz w:val="22"/>
          <w:szCs w:val="22"/>
        </w:rPr>
      </w:pPr>
    </w:p>
    <w:p w:rsidR="00AB1487" w:rsidRPr="005D6A0F" w:rsidRDefault="00D26927" w:rsidP="00041347">
      <w:pPr>
        <w:autoSpaceDE w:val="0"/>
        <w:autoSpaceDN w:val="0"/>
        <w:adjustRightInd w:val="0"/>
        <w:jc w:val="both"/>
        <w:rPr>
          <w:rFonts w:ascii="Arial" w:hAnsi="Arial" w:cs="Arial"/>
          <w:bCs/>
          <w:sz w:val="22"/>
          <w:szCs w:val="22"/>
        </w:rPr>
      </w:pPr>
      <w:r w:rsidRPr="00231A04">
        <w:rPr>
          <w:rFonts w:ascii="Arial" w:hAnsi="Arial" w:cs="Arial"/>
          <w:sz w:val="22"/>
          <w:szCs w:val="22"/>
        </w:rPr>
        <w:t xml:space="preserve">La </w:t>
      </w:r>
      <w:r w:rsidR="005D6A0F" w:rsidRPr="005D6A0F">
        <w:rPr>
          <w:rFonts w:ascii="Arial" w:hAnsi="Arial" w:cs="Arial"/>
          <w:bCs/>
          <w:sz w:val="22"/>
          <w:szCs w:val="22"/>
        </w:rPr>
        <w:t>Convention de La Haye du 19 octobre 1996 concernant la compétence, la loi applicable, la reconnaissance, l’exécution et la coopération en matière de responsabilité parentale et de mesures de protection des enfants</w:t>
      </w:r>
      <w:r w:rsidR="005D6A0F">
        <w:rPr>
          <w:rFonts w:ascii="Arial" w:hAnsi="Arial" w:cs="Arial"/>
          <w:bCs/>
          <w:sz w:val="22"/>
          <w:szCs w:val="22"/>
        </w:rPr>
        <w:t xml:space="preserve"> (ci-après "la Convention" ou "la Convention de 1996") </w:t>
      </w:r>
      <w:r w:rsidR="00231A04" w:rsidRPr="00231A04">
        <w:rPr>
          <w:rFonts w:ascii="Arial" w:hAnsi="Arial" w:cs="Arial"/>
          <w:sz w:val="22"/>
          <w:szCs w:val="22"/>
        </w:rPr>
        <w:t>vis</w:t>
      </w:r>
      <w:r w:rsidR="00231A04">
        <w:rPr>
          <w:rFonts w:ascii="Arial" w:hAnsi="Arial" w:cs="Arial"/>
          <w:sz w:val="22"/>
          <w:szCs w:val="22"/>
        </w:rPr>
        <w:t>e</w:t>
      </w:r>
      <w:r w:rsidR="00231A04" w:rsidRPr="00231A04">
        <w:rPr>
          <w:rFonts w:ascii="Arial" w:hAnsi="Arial" w:cs="Arial"/>
          <w:sz w:val="22"/>
          <w:szCs w:val="22"/>
        </w:rPr>
        <w:t xml:space="preserve"> à </w:t>
      </w:r>
      <w:r w:rsidRPr="00231A04">
        <w:rPr>
          <w:rFonts w:ascii="Arial" w:hAnsi="Arial" w:cs="Arial"/>
          <w:sz w:val="22"/>
          <w:szCs w:val="22"/>
        </w:rPr>
        <w:t>remplace</w:t>
      </w:r>
      <w:r w:rsidR="00231A04" w:rsidRPr="00231A04">
        <w:rPr>
          <w:rFonts w:ascii="Arial" w:hAnsi="Arial" w:cs="Arial"/>
          <w:sz w:val="22"/>
          <w:szCs w:val="22"/>
        </w:rPr>
        <w:t>r</w:t>
      </w:r>
      <w:r w:rsidRPr="00231A04">
        <w:rPr>
          <w:rFonts w:ascii="Arial" w:hAnsi="Arial" w:cs="Arial"/>
          <w:sz w:val="22"/>
          <w:szCs w:val="22"/>
        </w:rPr>
        <w:t xml:space="preserve"> la Convention de la Haye du 5 octobre 1961</w:t>
      </w:r>
      <w:r w:rsidRPr="007B0932">
        <w:rPr>
          <w:rFonts w:ascii="Arial" w:hAnsi="Arial" w:cs="Arial"/>
          <w:sz w:val="22"/>
          <w:szCs w:val="22"/>
        </w:rPr>
        <w:t xml:space="preserve"> concernant la compétence des autorités et la loi applicable en matière de protection des mineurs </w:t>
      </w:r>
      <w:r w:rsidR="005D6A0F">
        <w:rPr>
          <w:rFonts w:ascii="Arial" w:hAnsi="Arial" w:cs="Arial"/>
          <w:bCs/>
          <w:sz w:val="22"/>
          <w:szCs w:val="22"/>
        </w:rPr>
        <w:t xml:space="preserve">(ci-après "la Convention de 1961") </w:t>
      </w:r>
      <w:r w:rsidRPr="007B0932">
        <w:rPr>
          <w:rFonts w:ascii="Arial" w:hAnsi="Arial" w:cs="Arial"/>
          <w:sz w:val="22"/>
          <w:szCs w:val="22"/>
        </w:rPr>
        <w:t xml:space="preserve">(approuvée par la loi du 17 mai 1967, Mém p. 532). </w:t>
      </w:r>
      <w:r w:rsidR="00026591" w:rsidRPr="007B0932">
        <w:rPr>
          <w:rFonts w:ascii="Arial" w:hAnsi="Arial" w:cs="Arial"/>
          <w:sz w:val="22"/>
          <w:szCs w:val="22"/>
        </w:rPr>
        <w:t xml:space="preserve">Tenant compte des difficultés </w:t>
      </w:r>
      <w:r w:rsidR="008B5EFD">
        <w:rPr>
          <w:rFonts w:ascii="Arial" w:hAnsi="Arial" w:cs="Arial"/>
          <w:sz w:val="22"/>
          <w:szCs w:val="22"/>
        </w:rPr>
        <w:t xml:space="preserve">d’application </w:t>
      </w:r>
      <w:r w:rsidR="00026591" w:rsidRPr="007B0932">
        <w:rPr>
          <w:rFonts w:ascii="Arial" w:hAnsi="Arial" w:cs="Arial"/>
          <w:sz w:val="22"/>
          <w:szCs w:val="22"/>
        </w:rPr>
        <w:t>a</w:t>
      </w:r>
      <w:r w:rsidR="005D6A0F">
        <w:rPr>
          <w:rFonts w:ascii="Arial" w:hAnsi="Arial" w:cs="Arial"/>
          <w:sz w:val="22"/>
          <w:szCs w:val="22"/>
        </w:rPr>
        <w:t>uxquelles la convention de</w:t>
      </w:r>
      <w:r w:rsidR="008B5EFD">
        <w:rPr>
          <w:rFonts w:ascii="Arial" w:hAnsi="Arial" w:cs="Arial"/>
          <w:sz w:val="22"/>
          <w:szCs w:val="22"/>
        </w:rPr>
        <w:t xml:space="preserve"> 1961 a </w:t>
      </w:r>
      <w:r w:rsidR="00026591">
        <w:rPr>
          <w:rFonts w:ascii="Arial" w:hAnsi="Arial" w:cs="Arial"/>
          <w:sz w:val="22"/>
          <w:szCs w:val="22"/>
        </w:rPr>
        <w:t>donné lieu, la C</w:t>
      </w:r>
      <w:r w:rsidR="00026591" w:rsidRPr="007B0932">
        <w:rPr>
          <w:rFonts w:ascii="Arial" w:hAnsi="Arial" w:cs="Arial"/>
          <w:sz w:val="22"/>
          <w:szCs w:val="22"/>
        </w:rPr>
        <w:t>onvention de 1996 apporte une précieuse contribution à la protection des enfants au niveau internationa</w:t>
      </w:r>
      <w:r w:rsidR="00026591">
        <w:rPr>
          <w:rFonts w:ascii="Arial" w:hAnsi="Arial" w:cs="Arial"/>
          <w:sz w:val="22"/>
          <w:szCs w:val="22"/>
        </w:rPr>
        <w:t>l, et ce en complément à la Convention des Nations Unies du 20 novembre 1989 relative aux droits de l’enfant (adoptée par le Luxembourg par une loi du 20 décembre 1993).</w:t>
      </w:r>
    </w:p>
    <w:p w:rsidR="00091405" w:rsidRDefault="00091405" w:rsidP="00041347">
      <w:pPr>
        <w:autoSpaceDE w:val="0"/>
        <w:autoSpaceDN w:val="0"/>
        <w:adjustRightInd w:val="0"/>
        <w:jc w:val="both"/>
        <w:rPr>
          <w:rFonts w:ascii="Arial" w:hAnsi="Arial" w:cs="Arial"/>
          <w:sz w:val="22"/>
          <w:szCs w:val="22"/>
        </w:rPr>
      </w:pPr>
    </w:p>
    <w:p w:rsidR="00231A04" w:rsidRDefault="00231A04" w:rsidP="00041347">
      <w:pPr>
        <w:autoSpaceDE w:val="0"/>
        <w:autoSpaceDN w:val="0"/>
        <w:adjustRightInd w:val="0"/>
        <w:jc w:val="both"/>
        <w:rPr>
          <w:rFonts w:ascii="Arial" w:hAnsi="Arial" w:cs="Arial"/>
          <w:sz w:val="22"/>
          <w:szCs w:val="22"/>
        </w:rPr>
      </w:pPr>
      <w:r w:rsidRPr="007B0932">
        <w:rPr>
          <w:rFonts w:ascii="Arial" w:hAnsi="Arial" w:cs="Arial"/>
          <w:sz w:val="22"/>
          <w:szCs w:val="22"/>
        </w:rPr>
        <w:t>Ouverte à la signature des</w:t>
      </w:r>
      <w:r>
        <w:rPr>
          <w:rFonts w:ascii="Arial" w:hAnsi="Arial" w:cs="Arial"/>
          <w:sz w:val="22"/>
          <w:szCs w:val="22"/>
        </w:rPr>
        <w:t xml:space="preserve"> Etats le 19 octobre 1996, la Convention de 1996</w:t>
      </w:r>
      <w:r w:rsidRPr="007B0932">
        <w:rPr>
          <w:rFonts w:ascii="Arial" w:hAnsi="Arial" w:cs="Arial"/>
          <w:sz w:val="22"/>
          <w:szCs w:val="22"/>
        </w:rPr>
        <w:t xml:space="preserve"> est entrée en vigueur, à l’égard des Etats qui l’ont ratifiée, le 1</w:t>
      </w:r>
      <w:r w:rsidR="007655A6">
        <w:rPr>
          <w:rFonts w:ascii="Arial" w:hAnsi="Arial" w:cs="Arial"/>
          <w:sz w:val="22"/>
          <w:szCs w:val="22"/>
        </w:rPr>
        <w:t>er</w:t>
      </w:r>
      <w:r w:rsidRPr="007B0932">
        <w:rPr>
          <w:rFonts w:ascii="Arial" w:hAnsi="Arial" w:cs="Arial"/>
          <w:sz w:val="22"/>
          <w:szCs w:val="22"/>
        </w:rPr>
        <w:t xml:space="preserve"> janvier 2002. Pour les Etats membres de l’Union européenne la signature et la ratification de la Convention 1996 se f</w:t>
      </w:r>
      <w:r w:rsidR="007655A6">
        <w:rPr>
          <w:rFonts w:ascii="Arial" w:hAnsi="Arial" w:cs="Arial"/>
          <w:sz w:val="22"/>
          <w:szCs w:val="22"/>
        </w:rPr>
        <w:t>on</w:t>
      </w:r>
      <w:r w:rsidRPr="007B0932">
        <w:rPr>
          <w:rFonts w:ascii="Arial" w:hAnsi="Arial" w:cs="Arial"/>
          <w:sz w:val="22"/>
          <w:szCs w:val="22"/>
        </w:rPr>
        <w:t>t dans un cadre juridique différent que ce</w:t>
      </w:r>
      <w:r w:rsidR="007655A6">
        <w:rPr>
          <w:rFonts w:ascii="Arial" w:hAnsi="Arial" w:cs="Arial"/>
          <w:sz w:val="22"/>
          <w:szCs w:val="22"/>
        </w:rPr>
        <w:t>lui</w:t>
      </w:r>
      <w:r w:rsidRPr="007B0932">
        <w:rPr>
          <w:rFonts w:ascii="Arial" w:hAnsi="Arial" w:cs="Arial"/>
          <w:sz w:val="22"/>
          <w:szCs w:val="22"/>
        </w:rPr>
        <w:t xml:space="preserve"> de la Convention de 1961.</w:t>
      </w:r>
    </w:p>
    <w:p w:rsidR="00091405" w:rsidRDefault="00091405" w:rsidP="00041347">
      <w:pPr>
        <w:autoSpaceDE w:val="0"/>
        <w:autoSpaceDN w:val="0"/>
        <w:adjustRightInd w:val="0"/>
        <w:jc w:val="both"/>
        <w:rPr>
          <w:rFonts w:ascii="Arial" w:hAnsi="Arial" w:cs="Arial"/>
          <w:sz w:val="22"/>
          <w:szCs w:val="22"/>
        </w:rPr>
      </w:pPr>
    </w:p>
    <w:p w:rsidR="00231A04" w:rsidRPr="007B0932" w:rsidRDefault="00231A04" w:rsidP="00041347">
      <w:pPr>
        <w:autoSpaceDE w:val="0"/>
        <w:autoSpaceDN w:val="0"/>
        <w:adjustRightInd w:val="0"/>
        <w:jc w:val="both"/>
        <w:rPr>
          <w:rFonts w:ascii="Arial" w:hAnsi="Arial" w:cs="Arial"/>
          <w:sz w:val="22"/>
          <w:szCs w:val="22"/>
        </w:rPr>
      </w:pPr>
      <w:r w:rsidRPr="007B0932">
        <w:rPr>
          <w:rFonts w:ascii="Arial" w:hAnsi="Arial" w:cs="Arial"/>
          <w:sz w:val="22"/>
          <w:szCs w:val="22"/>
        </w:rPr>
        <w:t>A l’époque de la Convention de 1961 la coopération judiciaire civile relevait de la seule compétence des Etats membres. Or</w:t>
      </w:r>
      <w:r w:rsidR="007655A6">
        <w:rPr>
          <w:rFonts w:ascii="Arial" w:hAnsi="Arial" w:cs="Arial"/>
          <w:sz w:val="22"/>
          <w:szCs w:val="22"/>
        </w:rPr>
        <w:t>,</w:t>
      </w:r>
      <w:r w:rsidRPr="007B0932">
        <w:rPr>
          <w:rFonts w:ascii="Arial" w:hAnsi="Arial" w:cs="Arial"/>
          <w:sz w:val="22"/>
          <w:szCs w:val="22"/>
        </w:rPr>
        <w:t xml:space="preserve"> le Traité d’Amsterdam, signé en 1997 et entré en vigueur en 1999, a « communautarisé » la coopération judiciaire en matière civile</w:t>
      </w:r>
      <w:r>
        <w:rPr>
          <w:rFonts w:ascii="Arial" w:hAnsi="Arial" w:cs="Arial"/>
          <w:sz w:val="22"/>
          <w:szCs w:val="22"/>
        </w:rPr>
        <w:t>. L</w:t>
      </w:r>
      <w:r w:rsidRPr="007B0932">
        <w:rPr>
          <w:rFonts w:ascii="Arial" w:hAnsi="Arial" w:cs="Arial"/>
          <w:sz w:val="22"/>
          <w:szCs w:val="22"/>
        </w:rPr>
        <w:t xml:space="preserve">a Communauté s’est vu reconnaître une compétence pour légiférer dans ces domaines et </w:t>
      </w:r>
      <w:r>
        <w:rPr>
          <w:rFonts w:ascii="Arial" w:hAnsi="Arial" w:cs="Arial"/>
          <w:sz w:val="22"/>
          <w:szCs w:val="22"/>
        </w:rPr>
        <w:t xml:space="preserve">une compétence pour </w:t>
      </w:r>
      <w:r w:rsidRPr="007B0932">
        <w:rPr>
          <w:rFonts w:ascii="Arial" w:hAnsi="Arial" w:cs="Arial"/>
          <w:sz w:val="22"/>
          <w:szCs w:val="22"/>
        </w:rPr>
        <w:t>conclure des accords internationaux s’il</w:t>
      </w:r>
      <w:r>
        <w:rPr>
          <w:rFonts w:ascii="Arial" w:hAnsi="Arial" w:cs="Arial"/>
          <w:sz w:val="22"/>
          <w:szCs w:val="22"/>
        </w:rPr>
        <w:t>s affectent le droit communautaire dérivé</w:t>
      </w:r>
      <w:r w:rsidRPr="007B0932">
        <w:rPr>
          <w:rFonts w:ascii="Arial" w:hAnsi="Arial" w:cs="Arial"/>
          <w:sz w:val="22"/>
          <w:szCs w:val="22"/>
        </w:rPr>
        <w:t xml:space="preserve"> (voir arrêt AETER du 31 mars 1971, CJCE affaire 22/70).</w:t>
      </w:r>
    </w:p>
    <w:p w:rsidR="00231A04" w:rsidRDefault="00231A04" w:rsidP="00041347">
      <w:pPr>
        <w:autoSpaceDE w:val="0"/>
        <w:autoSpaceDN w:val="0"/>
        <w:adjustRightInd w:val="0"/>
        <w:jc w:val="both"/>
        <w:rPr>
          <w:rFonts w:ascii="Arial" w:hAnsi="Arial" w:cs="Arial"/>
        </w:rPr>
      </w:pPr>
    </w:p>
    <w:p w:rsidR="00231A04" w:rsidRDefault="00231A04" w:rsidP="00041347">
      <w:pPr>
        <w:autoSpaceDE w:val="0"/>
        <w:autoSpaceDN w:val="0"/>
        <w:adjustRightInd w:val="0"/>
        <w:jc w:val="both"/>
        <w:rPr>
          <w:rFonts w:ascii="Arial" w:hAnsi="Arial" w:cs="Arial"/>
          <w:sz w:val="22"/>
          <w:szCs w:val="22"/>
        </w:rPr>
      </w:pPr>
      <w:r w:rsidRPr="00DB0A0A">
        <w:rPr>
          <w:rFonts w:ascii="Arial" w:hAnsi="Arial" w:cs="Arial"/>
          <w:sz w:val="22"/>
          <w:szCs w:val="22"/>
        </w:rPr>
        <w:t>Dans la mesure où la Convention de 1996 contient des dispositions qui affectent le Règlement (CE) n° 1347/2000 du Conseil du 29 mai 2000 relatif à la compétence, la reconnaissance et l’exécution des décisions en matière matrimoniale et en matière de responsabilité parentale des enfants communs (appelé « Bruxelles IIbis »)</w:t>
      </w:r>
      <w:r w:rsidR="00AB1487">
        <w:rPr>
          <w:rFonts w:ascii="Arial" w:hAnsi="Arial" w:cs="Arial"/>
          <w:sz w:val="22"/>
          <w:szCs w:val="22"/>
        </w:rPr>
        <w:t xml:space="preserve"> (JO  L 338 du 23.12.2003)</w:t>
      </w:r>
      <w:r w:rsidRPr="00DB0A0A">
        <w:rPr>
          <w:rFonts w:ascii="Arial" w:hAnsi="Arial" w:cs="Arial"/>
          <w:sz w:val="22"/>
          <w:szCs w:val="22"/>
        </w:rPr>
        <w:t>, les Etats membres</w:t>
      </w:r>
      <w:r w:rsidR="00AB1487">
        <w:rPr>
          <w:rFonts w:ascii="Arial" w:hAnsi="Arial" w:cs="Arial"/>
          <w:sz w:val="22"/>
          <w:szCs w:val="22"/>
        </w:rPr>
        <w:t xml:space="preserve"> de l’Union européenne</w:t>
      </w:r>
      <w:r w:rsidRPr="00DB0A0A">
        <w:rPr>
          <w:rFonts w:ascii="Arial" w:hAnsi="Arial" w:cs="Arial"/>
          <w:sz w:val="22"/>
          <w:szCs w:val="22"/>
        </w:rPr>
        <w:t xml:space="preserve"> et la Communauté ont une compétence partagée pour participer à </w:t>
      </w:r>
      <w:r w:rsidR="009E3911">
        <w:rPr>
          <w:rFonts w:ascii="Arial" w:hAnsi="Arial" w:cs="Arial"/>
          <w:sz w:val="22"/>
          <w:szCs w:val="22"/>
        </w:rPr>
        <w:t>la</w:t>
      </w:r>
      <w:r w:rsidRPr="00DB0A0A">
        <w:rPr>
          <w:rFonts w:ascii="Arial" w:hAnsi="Arial" w:cs="Arial"/>
          <w:sz w:val="22"/>
          <w:szCs w:val="22"/>
        </w:rPr>
        <w:t xml:space="preserve"> Convention</w:t>
      </w:r>
      <w:r w:rsidR="009E3911">
        <w:rPr>
          <w:rFonts w:ascii="Arial" w:hAnsi="Arial" w:cs="Arial"/>
          <w:sz w:val="22"/>
          <w:szCs w:val="22"/>
        </w:rPr>
        <w:t xml:space="preserve"> de 1996</w:t>
      </w:r>
      <w:r w:rsidRPr="00DB0A0A">
        <w:rPr>
          <w:rFonts w:ascii="Arial" w:hAnsi="Arial" w:cs="Arial"/>
          <w:sz w:val="22"/>
          <w:szCs w:val="22"/>
        </w:rPr>
        <w:t xml:space="preserve">. Vu que la </w:t>
      </w:r>
      <w:r w:rsidR="00AB1487">
        <w:rPr>
          <w:rFonts w:ascii="Arial" w:hAnsi="Arial" w:cs="Arial"/>
          <w:sz w:val="22"/>
          <w:szCs w:val="22"/>
        </w:rPr>
        <w:t>C</w:t>
      </w:r>
      <w:r w:rsidRPr="00DB0A0A">
        <w:rPr>
          <w:rFonts w:ascii="Arial" w:hAnsi="Arial" w:cs="Arial"/>
          <w:sz w:val="22"/>
          <w:szCs w:val="22"/>
        </w:rPr>
        <w:t xml:space="preserve">onvention dispose que seuls les Etats souverains peuvent être partie, les Etats membres </w:t>
      </w:r>
      <w:r w:rsidR="00AB1487">
        <w:rPr>
          <w:rFonts w:ascii="Arial" w:hAnsi="Arial" w:cs="Arial"/>
          <w:sz w:val="22"/>
          <w:szCs w:val="22"/>
        </w:rPr>
        <w:t xml:space="preserve">ont été </w:t>
      </w:r>
      <w:r w:rsidR="00026591" w:rsidRPr="005D6A0F">
        <w:rPr>
          <w:rFonts w:ascii="Arial" w:hAnsi="Arial" w:cs="Arial"/>
          <w:sz w:val="22"/>
          <w:szCs w:val="22"/>
        </w:rPr>
        <w:t>autorisés</w:t>
      </w:r>
      <w:r w:rsidR="00AB1487" w:rsidRPr="005D6A0F">
        <w:rPr>
          <w:rFonts w:ascii="Arial" w:hAnsi="Arial" w:cs="Arial"/>
          <w:sz w:val="22"/>
          <w:szCs w:val="22"/>
        </w:rPr>
        <w:t xml:space="preserve"> </w:t>
      </w:r>
      <w:r w:rsidRPr="005D6A0F">
        <w:rPr>
          <w:rFonts w:ascii="Arial" w:hAnsi="Arial" w:cs="Arial"/>
          <w:sz w:val="22"/>
          <w:szCs w:val="22"/>
        </w:rPr>
        <w:t xml:space="preserve">à </w:t>
      </w:r>
      <w:r w:rsidRPr="005D6A0F">
        <w:rPr>
          <w:rFonts w:ascii="Arial" w:hAnsi="Arial" w:cs="Arial"/>
          <w:i/>
          <w:sz w:val="22"/>
          <w:szCs w:val="22"/>
        </w:rPr>
        <w:t>signer</w:t>
      </w:r>
      <w:r w:rsidR="009E3911">
        <w:rPr>
          <w:rFonts w:ascii="Arial" w:hAnsi="Arial" w:cs="Arial"/>
          <w:sz w:val="22"/>
          <w:szCs w:val="22"/>
        </w:rPr>
        <w:t xml:space="preserve"> la </w:t>
      </w:r>
      <w:r w:rsidRPr="00DB0A0A">
        <w:rPr>
          <w:rFonts w:ascii="Arial" w:hAnsi="Arial" w:cs="Arial"/>
          <w:sz w:val="22"/>
          <w:szCs w:val="22"/>
        </w:rPr>
        <w:t>Convention dans l’intérêt de la Communauté</w:t>
      </w:r>
      <w:r w:rsidR="00AB1487">
        <w:rPr>
          <w:rFonts w:ascii="Arial" w:hAnsi="Arial" w:cs="Arial"/>
          <w:sz w:val="22"/>
          <w:szCs w:val="22"/>
        </w:rPr>
        <w:t xml:space="preserve"> (</w:t>
      </w:r>
      <w:r w:rsidR="009E3911">
        <w:rPr>
          <w:rFonts w:ascii="Arial" w:hAnsi="Arial" w:cs="Arial"/>
          <w:sz w:val="22"/>
          <w:szCs w:val="22"/>
        </w:rPr>
        <w:t xml:space="preserve">décision 2003/93/CE du Conseil du 19 décembre 2002, </w:t>
      </w:r>
      <w:r w:rsidR="00AB1487" w:rsidRPr="00DB0A0A">
        <w:rPr>
          <w:rFonts w:ascii="Arial" w:hAnsi="Arial" w:cs="Arial"/>
          <w:sz w:val="22"/>
          <w:szCs w:val="22"/>
        </w:rPr>
        <w:t>JO L 48 du 21.2.2003, p.3)</w:t>
      </w:r>
      <w:r w:rsidRPr="00DB0A0A">
        <w:rPr>
          <w:rFonts w:ascii="Arial" w:hAnsi="Arial" w:cs="Arial"/>
          <w:sz w:val="22"/>
          <w:szCs w:val="22"/>
        </w:rPr>
        <w:t xml:space="preserve">. Cette décision a été fondée sur l’article 300 du traité instituant la Communauté européenne. A l’exception des Pays-Bas qui avaient déjà </w:t>
      </w:r>
      <w:r w:rsidRPr="00026591">
        <w:rPr>
          <w:rFonts w:ascii="Arial" w:hAnsi="Arial" w:cs="Arial"/>
          <w:sz w:val="22"/>
          <w:szCs w:val="22"/>
        </w:rPr>
        <w:t>signé la Convention en 1997 et du Danemark non tenu par le R</w:t>
      </w:r>
      <w:r w:rsidR="009E3911">
        <w:rPr>
          <w:rFonts w:ascii="Arial" w:hAnsi="Arial" w:cs="Arial"/>
          <w:sz w:val="22"/>
          <w:szCs w:val="22"/>
        </w:rPr>
        <w:t xml:space="preserve">èglement </w:t>
      </w:r>
      <w:r w:rsidR="007655A6">
        <w:rPr>
          <w:rFonts w:ascii="Arial" w:hAnsi="Arial" w:cs="Arial"/>
          <w:sz w:val="22"/>
          <w:szCs w:val="22"/>
        </w:rPr>
        <w:t xml:space="preserve">         </w:t>
      </w:r>
      <w:r w:rsidRPr="00026591">
        <w:rPr>
          <w:rFonts w:ascii="Arial" w:hAnsi="Arial" w:cs="Arial"/>
          <w:sz w:val="22"/>
          <w:szCs w:val="22"/>
        </w:rPr>
        <w:t>n°</w:t>
      </w:r>
      <w:r w:rsidR="007655A6">
        <w:rPr>
          <w:rFonts w:ascii="Arial" w:hAnsi="Arial" w:cs="Arial"/>
          <w:sz w:val="22"/>
          <w:szCs w:val="22"/>
        </w:rPr>
        <w:t xml:space="preserve"> </w:t>
      </w:r>
      <w:r w:rsidRPr="00026591">
        <w:rPr>
          <w:rFonts w:ascii="Arial" w:hAnsi="Arial" w:cs="Arial"/>
          <w:sz w:val="22"/>
          <w:szCs w:val="22"/>
        </w:rPr>
        <w:t>2201/2003,</w:t>
      </w:r>
      <w:r>
        <w:t xml:space="preserve"> </w:t>
      </w:r>
      <w:r w:rsidRPr="00DB0A0A">
        <w:rPr>
          <w:rFonts w:ascii="Arial" w:hAnsi="Arial" w:cs="Arial"/>
          <w:sz w:val="22"/>
          <w:szCs w:val="22"/>
        </w:rPr>
        <w:t xml:space="preserve">les Etats membres de l’Union européenne </w:t>
      </w:r>
      <w:r w:rsidR="007655A6" w:rsidRPr="00DB0A0A">
        <w:rPr>
          <w:rFonts w:ascii="Arial" w:hAnsi="Arial" w:cs="Arial"/>
          <w:sz w:val="22"/>
          <w:szCs w:val="22"/>
        </w:rPr>
        <w:t xml:space="preserve">à l’époque </w:t>
      </w:r>
      <w:r w:rsidRPr="00DB0A0A">
        <w:rPr>
          <w:rFonts w:ascii="Arial" w:hAnsi="Arial" w:cs="Arial"/>
          <w:sz w:val="22"/>
          <w:szCs w:val="22"/>
        </w:rPr>
        <w:t xml:space="preserve">ont donc </w:t>
      </w:r>
      <w:r w:rsidR="007655A6">
        <w:rPr>
          <w:rFonts w:ascii="Arial" w:hAnsi="Arial" w:cs="Arial"/>
          <w:sz w:val="22"/>
          <w:szCs w:val="22"/>
        </w:rPr>
        <w:t xml:space="preserve">signé </w:t>
      </w:r>
      <w:r w:rsidRPr="00DB0A0A">
        <w:rPr>
          <w:rFonts w:ascii="Arial" w:hAnsi="Arial" w:cs="Arial"/>
          <w:sz w:val="22"/>
          <w:szCs w:val="22"/>
        </w:rPr>
        <w:t xml:space="preserve">simultanément la Convention de La Haye le 1er avril 2003, en souscrivant la même déclaration. </w:t>
      </w:r>
    </w:p>
    <w:p w:rsidR="008F6A61" w:rsidRDefault="008F6A61" w:rsidP="00041347">
      <w:pPr>
        <w:autoSpaceDE w:val="0"/>
        <w:autoSpaceDN w:val="0"/>
        <w:adjustRightInd w:val="0"/>
        <w:jc w:val="both"/>
        <w:rPr>
          <w:rFonts w:ascii="Arial" w:hAnsi="Arial" w:cs="Arial"/>
          <w:sz w:val="22"/>
          <w:szCs w:val="22"/>
        </w:rPr>
      </w:pPr>
    </w:p>
    <w:p w:rsidR="00231A04" w:rsidRDefault="00231A04" w:rsidP="00041347">
      <w:pPr>
        <w:autoSpaceDE w:val="0"/>
        <w:autoSpaceDN w:val="0"/>
        <w:adjustRightInd w:val="0"/>
        <w:jc w:val="both"/>
        <w:rPr>
          <w:rFonts w:ascii="Arial" w:hAnsi="Arial" w:cs="Arial"/>
          <w:sz w:val="22"/>
          <w:szCs w:val="22"/>
        </w:rPr>
      </w:pPr>
      <w:r w:rsidRPr="00385029">
        <w:rPr>
          <w:rFonts w:ascii="Arial" w:hAnsi="Arial" w:cs="Arial"/>
          <w:sz w:val="22"/>
          <w:szCs w:val="22"/>
        </w:rPr>
        <w:t xml:space="preserve">Dans une deuxième décision, les Etats </w:t>
      </w:r>
      <w:r w:rsidR="00026591">
        <w:rPr>
          <w:rFonts w:ascii="Arial" w:hAnsi="Arial" w:cs="Arial"/>
          <w:sz w:val="22"/>
          <w:szCs w:val="22"/>
        </w:rPr>
        <w:t>ont été</w:t>
      </w:r>
      <w:r w:rsidR="00026591" w:rsidRPr="005D6A0F">
        <w:rPr>
          <w:rFonts w:ascii="Arial" w:hAnsi="Arial" w:cs="Arial"/>
          <w:sz w:val="22"/>
          <w:szCs w:val="22"/>
        </w:rPr>
        <w:t xml:space="preserve"> autorisés </w:t>
      </w:r>
      <w:r w:rsidRPr="005D6A0F">
        <w:rPr>
          <w:rFonts w:ascii="Arial" w:hAnsi="Arial" w:cs="Arial"/>
          <w:sz w:val="22"/>
          <w:szCs w:val="22"/>
        </w:rPr>
        <w:t>à</w:t>
      </w:r>
      <w:r w:rsidRPr="009E3911">
        <w:rPr>
          <w:rFonts w:ascii="Arial" w:hAnsi="Arial" w:cs="Arial"/>
          <w:i/>
          <w:sz w:val="22"/>
          <w:szCs w:val="22"/>
        </w:rPr>
        <w:t xml:space="preserve"> ratifier</w:t>
      </w:r>
      <w:r w:rsidRPr="00385029">
        <w:rPr>
          <w:rFonts w:ascii="Arial" w:hAnsi="Arial" w:cs="Arial"/>
          <w:sz w:val="22"/>
          <w:szCs w:val="22"/>
        </w:rPr>
        <w:t xml:space="preserve"> la Convention (</w:t>
      </w:r>
      <w:r w:rsidR="009E3911">
        <w:rPr>
          <w:rFonts w:ascii="Arial" w:hAnsi="Arial" w:cs="Arial"/>
          <w:sz w:val="22"/>
          <w:szCs w:val="22"/>
        </w:rPr>
        <w:t xml:space="preserve">décision 2008/431/CE du Conseil du 5 juin 2008, </w:t>
      </w:r>
      <w:r w:rsidRPr="00385029">
        <w:rPr>
          <w:rFonts w:ascii="Arial" w:hAnsi="Arial" w:cs="Arial"/>
          <w:sz w:val="22"/>
          <w:szCs w:val="22"/>
        </w:rPr>
        <w:t>JO L 151 du 11 juin 2006, p. 36).  A l’article 1</w:t>
      </w:r>
      <w:r w:rsidRPr="00385029">
        <w:rPr>
          <w:rFonts w:ascii="Arial" w:hAnsi="Arial" w:cs="Arial"/>
          <w:sz w:val="22"/>
          <w:szCs w:val="22"/>
          <w:vertAlign w:val="superscript"/>
        </w:rPr>
        <w:t>er</w:t>
      </w:r>
      <w:r w:rsidRPr="00385029">
        <w:rPr>
          <w:rFonts w:ascii="Arial" w:hAnsi="Arial" w:cs="Arial"/>
          <w:sz w:val="22"/>
          <w:szCs w:val="22"/>
        </w:rPr>
        <w:t>, cette décision autorisait l’Allemagne, l’Autriche, la Belgique, Chypre, l’Espagne, la Grèce, la France, la Finlande, l’Irlande, l’Italie, le Luxembourg, Malte, les Pays-Bas, la Pologne, le Portugal, la Roumanie, la Suède et le Royaume-Uni à ratifier la Convention de 1996 ou à y adhérer, dans l’intérêt de la Communauté européenne. L’article 2 de cette décision autoris</w:t>
      </w:r>
      <w:r w:rsidR="00026591">
        <w:rPr>
          <w:rFonts w:ascii="Arial" w:hAnsi="Arial" w:cs="Arial"/>
          <w:sz w:val="22"/>
          <w:szCs w:val="22"/>
        </w:rPr>
        <w:t>ait</w:t>
      </w:r>
      <w:r w:rsidRPr="00385029">
        <w:rPr>
          <w:rFonts w:ascii="Arial" w:hAnsi="Arial" w:cs="Arial"/>
          <w:sz w:val="22"/>
          <w:szCs w:val="22"/>
        </w:rPr>
        <w:t xml:space="preserve"> </w:t>
      </w:r>
      <w:r w:rsidRPr="00385029">
        <w:rPr>
          <w:rFonts w:ascii="Arial" w:hAnsi="Arial" w:cs="Arial"/>
          <w:sz w:val="22"/>
          <w:szCs w:val="22"/>
        </w:rPr>
        <w:lastRenderedPageBreak/>
        <w:t>par ailleurs la Bulgarie, Chypre, la Lettonie, Malte, les Pays-Bas et la Pologne à procéder à une déclaration relative à l’application des règles internes pertinentes du droit communautaire, identique en substance, à la déclaration que le Luxembourg et d’autres Etats membres de l’Union européenne avaient déjà faite lors de la signature</w:t>
      </w:r>
      <w:r>
        <w:rPr>
          <w:rFonts w:ascii="Arial" w:hAnsi="Arial" w:cs="Arial"/>
          <w:sz w:val="22"/>
          <w:szCs w:val="22"/>
        </w:rPr>
        <w:t xml:space="preserve"> d</w:t>
      </w:r>
      <w:r w:rsidRPr="00385029">
        <w:rPr>
          <w:rFonts w:ascii="Arial" w:hAnsi="Arial" w:cs="Arial"/>
          <w:sz w:val="22"/>
          <w:szCs w:val="22"/>
        </w:rPr>
        <w:t>e</w:t>
      </w:r>
      <w:r w:rsidR="009E3911">
        <w:rPr>
          <w:rFonts w:ascii="Arial" w:hAnsi="Arial" w:cs="Arial"/>
          <w:sz w:val="22"/>
          <w:szCs w:val="22"/>
        </w:rPr>
        <w:t xml:space="preserve"> la Convention</w:t>
      </w:r>
      <w:r w:rsidRPr="00385029">
        <w:rPr>
          <w:rFonts w:ascii="Arial" w:hAnsi="Arial" w:cs="Arial"/>
          <w:sz w:val="22"/>
          <w:szCs w:val="22"/>
        </w:rPr>
        <w:t>.</w:t>
      </w:r>
    </w:p>
    <w:p w:rsidR="00384B6B" w:rsidRPr="00385029" w:rsidRDefault="00384B6B" w:rsidP="00041347">
      <w:pPr>
        <w:autoSpaceDE w:val="0"/>
        <w:autoSpaceDN w:val="0"/>
        <w:adjustRightInd w:val="0"/>
        <w:jc w:val="both"/>
        <w:rPr>
          <w:rFonts w:ascii="Arial" w:hAnsi="Arial" w:cs="Arial"/>
          <w:sz w:val="22"/>
          <w:szCs w:val="22"/>
        </w:rPr>
      </w:pPr>
    </w:p>
    <w:p w:rsidR="005D6A0F" w:rsidRPr="00041347" w:rsidRDefault="00231A04" w:rsidP="005D6A0F">
      <w:pPr>
        <w:autoSpaceDE w:val="0"/>
        <w:autoSpaceDN w:val="0"/>
        <w:adjustRightInd w:val="0"/>
        <w:jc w:val="both"/>
        <w:rPr>
          <w:rFonts w:ascii="Arial" w:hAnsi="Arial" w:cs="Arial"/>
          <w:sz w:val="22"/>
          <w:szCs w:val="22"/>
        </w:rPr>
      </w:pPr>
      <w:r w:rsidRPr="00385029">
        <w:rPr>
          <w:rFonts w:ascii="Arial" w:hAnsi="Arial" w:cs="Arial"/>
          <w:sz w:val="22"/>
          <w:szCs w:val="22"/>
        </w:rPr>
        <w:t xml:space="preserve">Par cette décision du Conseil, les Etats membres se sont engagés </w:t>
      </w:r>
      <w:r w:rsidR="009E3911">
        <w:rPr>
          <w:rFonts w:ascii="Arial" w:hAnsi="Arial" w:cs="Arial"/>
          <w:sz w:val="22"/>
          <w:szCs w:val="22"/>
        </w:rPr>
        <w:t>à</w:t>
      </w:r>
      <w:r w:rsidRPr="00385029">
        <w:rPr>
          <w:rFonts w:ascii="Arial" w:hAnsi="Arial" w:cs="Arial"/>
          <w:sz w:val="22"/>
          <w:szCs w:val="22"/>
        </w:rPr>
        <w:t xml:space="preserve"> prendre « les mesures nécessaires pour déposer simultanément leurs instruments de ratification ou d’adhésion auprès du </w:t>
      </w:r>
      <w:r w:rsidR="007655A6">
        <w:rPr>
          <w:rFonts w:ascii="Arial" w:hAnsi="Arial" w:cs="Arial"/>
          <w:sz w:val="22"/>
          <w:szCs w:val="22"/>
        </w:rPr>
        <w:t>M</w:t>
      </w:r>
      <w:r w:rsidRPr="00385029">
        <w:rPr>
          <w:rFonts w:ascii="Arial" w:hAnsi="Arial" w:cs="Arial"/>
          <w:sz w:val="22"/>
          <w:szCs w:val="22"/>
        </w:rPr>
        <w:t xml:space="preserve">inistère des </w:t>
      </w:r>
      <w:r w:rsidR="007655A6">
        <w:rPr>
          <w:rFonts w:ascii="Arial" w:hAnsi="Arial" w:cs="Arial"/>
          <w:sz w:val="22"/>
          <w:szCs w:val="22"/>
        </w:rPr>
        <w:t>A</w:t>
      </w:r>
      <w:r w:rsidRPr="00385029">
        <w:rPr>
          <w:rFonts w:ascii="Arial" w:hAnsi="Arial" w:cs="Arial"/>
          <w:sz w:val="22"/>
          <w:szCs w:val="22"/>
        </w:rPr>
        <w:t>ffaires étrangères du Royaume des Pays-Bas, si possible avant le 5 juin 2010 » (article 3 de la décision).</w:t>
      </w:r>
    </w:p>
    <w:p w:rsidR="00041347" w:rsidRPr="00041347" w:rsidRDefault="00041347" w:rsidP="00041347">
      <w:pPr>
        <w:autoSpaceDE w:val="0"/>
        <w:autoSpaceDN w:val="0"/>
        <w:adjustRightInd w:val="0"/>
        <w:ind w:left="2124"/>
        <w:jc w:val="center"/>
        <w:rPr>
          <w:rFonts w:ascii="Arial" w:hAnsi="Arial" w:cs="Arial"/>
          <w:sz w:val="22"/>
          <w:szCs w:val="22"/>
        </w:rPr>
      </w:pPr>
    </w:p>
    <w:sectPr w:rsidR="00041347" w:rsidRPr="00041347">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2E" w:rsidRDefault="0096022E">
      <w:r>
        <w:separator/>
      </w:r>
    </w:p>
  </w:endnote>
  <w:endnote w:type="continuationSeparator" w:id="0">
    <w:p w:rsidR="0096022E" w:rsidRDefault="0096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2B" w:rsidRDefault="0012062B" w:rsidP="0087102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2062B" w:rsidRDefault="0012062B" w:rsidP="00FC644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2B" w:rsidRDefault="0012062B" w:rsidP="0087102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44518">
      <w:rPr>
        <w:rStyle w:val="Numrodepage"/>
        <w:noProof/>
      </w:rPr>
      <w:t>1</w:t>
    </w:r>
    <w:r>
      <w:rPr>
        <w:rStyle w:val="Numrodepage"/>
      </w:rPr>
      <w:fldChar w:fldCharType="end"/>
    </w:r>
  </w:p>
  <w:p w:rsidR="0012062B" w:rsidRDefault="0012062B" w:rsidP="00FC644E">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2E" w:rsidRDefault="0096022E">
      <w:r>
        <w:separator/>
      </w:r>
    </w:p>
  </w:footnote>
  <w:footnote w:type="continuationSeparator" w:id="0">
    <w:p w:rsidR="0096022E" w:rsidRDefault="00960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08D"/>
    <w:rsid w:val="00026591"/>
    <w:rsid w:val="00041347"/>
    <w:rsid w:val="00051268"/>
    <w:rsid w:val="000879DE"/>
    <w:rsid w:val="00091405"/>
    <w:rsid w:val="000E473B"/>
    <w:rsid w:val="000F3ECB"/>
    <w:rsid w:val="000F6DD8"/>
    <w:rsid w:val="001151BB"/>
    <w:rsid w:val="0012062B"/>
    <w:rsid w:val="001523D0"/>
    <w:rsid w:val="001528E5"/>
    <w:rsid w:val="00195A33"/>
    <w:rsid w:val="001B6F55"/>
    <w:rsid w:val="001E4DD2"/>
    <w:rsid w:val="001E6D03"/>
    <w:rsid w:val="00212626"/>
    <w:rsid w:val="00231A04"/>
    <w:rsid w:val="002649C7"/>
    <w:rsid w:val="002B75BD"/>
    <w:rsid w:val="002D7037"/>
    <w:rsid w:val="002D75E7"/>
    <w:rsid w:val="002E00D7"/>
    <w:rsid w:val="002F1A4D"/>
    <w:rsid w:val="003108AD"/>
    <w:rsid w:val="00335F17"/>
    <w:rsid w:val="00384B6B"/>
    <w:rsid w:val="00385029"/>
    <w:rsid w:val="003A24BF"/>
    <w:rsid w:val="003B1FC0"/>
    <w:rsid w:val="003C2585"/>
    <w:rsid w:val="003D29C6"/>
    <w:rsid w:val="00405D11"/>
    <w:rsid w:val="00430DFB"/>
    <w:rsid w:val="0044770A"/>
    <w:rsid w:val="00463D71"/>
    <w:rsid w:val="00473C61"/>
    <w:rsid w:val="004A2F73"/>
    <w:rsid w:val="004C67F5"/>
    <w:rsid w:val="004F210E"/>
    <w:rsid w:val="004F6003"/>
    <w:rsid w:val="004F6DDB"/>
    <w:rsid w:val="00517B41"/>
    <w:rsid w:val="005530A3"/>
    <w:rsid w:val="005B478E"/>
    <w:rsid w:val="005D6A0F"/>
    <w:rsid w:val="005F05F9"/>
    <w:rsid w:val="005F230E"/>
    <w:rsid w:val="0063572B"/>
    <w:rsid w:val="006419BA"/>
    <w:rsid w:val="00644518"/>
    <w:rsid w:val="00662427"/>
    <w:rsid w:val="006D6E3E"/>
    <w:rsid w:val="006F2190"/>
    <w:rsid w:val="007655A6"/>
    <w:rsid w:val="00787BEE"/>
    <w:rsid w:val="0079274B"/>
    <w:rsid w:val="007A16A8"/>
    <w:rsid w:val="007B0932"/>
    <w:rsid w:val="007B7950"/>
    <w:rsid w:val="007C47B2"/>
    <w:rsid w:val="007D1418"/>
    <w:rsid w:val="007E3E10"/>
    <w:rsid w:val="007F67DB"/>
    <w:rsid w:val="007F75E8"/>
    <w:rsid w:val="00821EBD"/>
    <w:rsid w:val="00823A42"/>
    <w:rsid w:val="008528EC"/>
    <w:rsid w:val="00860640"/>
    <w:rsid w:val="00861AD9"/>
    <w:rsid w:val="00864665"/>
    <w:rsid w:val="0087102B"/>
    <w:rsid w:val="008763A4"/>
    <w:rsid w:val="008A56F5"/>
    <w:rsid w:val="008B5EFD"/>
    <w:rsid w:val="008C59D8"/>
    <w:rsid w:val="008D0263"/>
    <w:rsid w:val="008E1FC9"/>
    <w:rsid w:val="008E4B43"/>
    <w:rsid w:val="008F5F9F"/>
    <w:rsid w:val="008F6A61"/>
    <w:rsid w:val="00916EAE"/>
    <w:rsid w:val="009233D1"/>
    <w:rsid w:val="00957882"/>
    <w:rsid w:val="0096022E"/>
    <w:rsid w:val="009734A3"/>
    <w:rsid w:val="0099091E"/>
    <w:rsid w:val="00997496"/>
    <w:rsid w:val="009E3911"/>
    <w:rsid w:val="00A26D39"/>
    <w:rsid w:val="00A3334C"/>
    <w:rsid w:val="00A35CF7"/>
    <w:rsid w:val="00A63006"/>
    <w:rsid w:val="00AB1487"/>
    <w:rsid w:val="00AC7C61"/>
    <w:rsid w:val="00B0555F"/>
    <w:rsid w:val="00B1229B"/>
    <w:rsid w:val="00B574A7"/>
    <w:rsid w:val="00B810A7"/>
    <w:rsid w:val="00B823D2"/>
    <w:rsid w:val="00BF63BA"/>
    <w:rsid w:val="00C461E2"/>
    <w:rsid w:val="00C85E31"/>
    <w:rsid w:val="00CE1F4F"/>
    <w:rsid w:val="00CF294F"/>
    <w:rsid w:val="00D00AB8"/>
    <w:rsid w:val="00D06423"/>
    <w:rsid w:val="00D07CBA"/>
    <w:rsid w:val="00D172E1"/>
    <w:rsid w:val="00D211DD"/>
    <w:rsid w:val="00D26927"/>
    <w:rsid w:val="00D43465"/>
    <w:rsid w:val="00D93525"/>
    <w:rsid w:val="00DB0A0A"/>
    <w:rsid w:val="00DB6B7E"/>
    <w:rsid w:val="00DC0854"/>
    <w:rsid w:val="00DC46AB"/>
    <w:rsid w:val="00DD2682"/>
    <w:rsid w:val="00DE1255"/>
    <w:rsid w:val="00DF24AB"/>
    <w:rsid w:val="00DF51C3"/>
    <w:rsid w:val="00E70B3A"/>
    <w:rsid w:val="00E970E8"/>
    <w:rsid w:val="00EA57C0"/>
    <w:rsid w:val="00EB1DA1"/>
    <w:rsid w:val="00ED1EF8"/>
    <w:rsid w:val="00F16439"/>
    <w:rsid w:val="00F46084"/>
    <w:rsid w:val="00F568AA"/>
    <w:rsid w:val="00F75B69"/>
    <w:rsid w:val="00F8108D"/>
    <w:rsid w:val="00FB3322"/>
    <w:rsid w:val="00FB67BA"/>
    <w:rsid w:val="00FC644E"/>
    <w:rsid w:val="00FD68A5"/>
    <w:rsid w:val="00FE77AF"/>
    <w:rsid w:val="00FF0A4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9385284-8E5C-49AD-8A09-17AF79D0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StyleAppelnotedebasdepArial11pt">
    <w:name w:val="Style Appel note de bas de p. + Arial 11 pt"/>
    <w:basedOn w:val="Appelnotedebasdep"/>
    <w:rsid w:val="00787BEE"/>
    <w:rPr>
      <w:rFonts w:ascii="Arial" w:hAnsi="Arial"/>
      <w:sz w:val="16"/>
      <w:vertAlign w:val="superscript"/>
    </w:rPr>
  </w:style>
  <w:style w:type="character" w:styleId="Appelnotedebasdep">
    <w:name w:val="footnote reference"/>
    <w:basedOn w:val="Policepardfaut"/>
    <w:semiHidden/>
    <w:rsid w:val="00787BEE"/>
    <w:rPr>
      <w:vertAlign w:val="superscript"/>
    </w:rPr>
  </w:style>
  <w:style w:type="character" w:styleId="lev">
    <w:name w:val="Strong"/>
    <w:basedOn w:val="Policepardfaut"/>
    <w:qFormat/>
    <w:rsid w:val="002F1A4D"/>
    <w:rPr>
      <w:b/>
      <w:bCs/>
    </w:rPr>
  </w:style>
  <w:style w:type="character" w:styleId="Lienhypertexte">
    <w:name w:val="Hyperlink"/>
    <w:basedOn w:val="Policepardfaut"/>
    <w:rsid w:val="002F1A4D"/>
    <w:rPr>
      <w:color w:val="0000FF"/>
      <w:u w:val="single"/>
    </w:rPr>
  </w:style>
  <w:style w:type="paragraph" w:customStyle="1" w:styleId="Default">
    <w:name w:val="Default"/>
    <w:rsid w:val="004A2F73"/>
    <w:pPr>
      <w:autoSpaceDE w:val="0"/>
      <w:autoSpaceDN w:val="0"/>
      <w:adjustRightInd w:val="0"/>
    </w:pPr>
    <w:rPr>
      <w:rFonts w:ascii="Verdana" w:hAnsi="Verdana" w:cs="Verdana"/>
      <w:color w:val="000000"/>
      <w:sz w:val="24"/>
      <w:szCs w:val="24"/>
      <w:lang w:val="fr-FR" w:eastAsia="fr-FR"/>
    </w:rPr>
  </w:style>
  <w:style w:type="paragraph" w:styleId="NormalWeb">
    <w:name w:val="Normal (Web)"/>
    <w:basedOn w:val="Normal"/>
    <w:rsid w:val="00C85E31"/>
    <w:pPr>
      <w:spacing w:before="100" w:beforeAutospacing="1" w:after="100" w:afterAutospacing="1"/>
    </w:pPr>
  </w:style>
  <w:style w:type="paragraph" w:styleId="Explorateurdedocuments">
    <w:name w:val="Document Map"/>
    <w:basedOn w:val="Normal"/>
    <w:semiHidden/>
    <w:rsid w:val="00405D11"/>
    <w:pPr>
      <w:shd w:val="clear" w:color="auto" w:fill="000080"/>
    </w:pPr>
    <w:rPr>
      <w:rFonts w:ascii="Tahoma" w:hAnsi="Tahoma" w:cs="Tahoma"/>
      <w:sz w:val="20"/>
      <w:szCs w:val="20"/>
    </w:rPr>
  </w:style>
  <w:style w:type="paragraph" w:styleId="Pieddepage">
    <w:name w:val="footer"/>
    <w:basedOn w:val="Normal"/>
    <w:rsid w:val="00FC644E"/>
    <w:pPr>
      <w:tabs>
        <w:tab w:val="center" w:pos="4536"/>
        <w:tab w:val="right" w:pos="9072"/>
      </w:tabs>
    </w:pPr>
  </w:style>
  <w:style w:type="character" w:styleId="Numrodepage">
    <w:name w:val="page number"/>
    <w:basedOn w:val="Policepardfaut"/>
    <w:rsid w:val="00FC644E"/>
  </w:style>
  <w:style w:type="paragraph" w:styleId="Textebrut">
    <w:name w:val="Plain Text"/>
    <w:basedOn w:val="Normal"/>
    <w:link w:val="TextebrutCar"/>
    <w:rsid w:val="00F568AA"/>
    <w:pPr>
      <w:jc w:val="both"/>
    </w:pPr>
    <w:rPr>
      <w:rFonts w:ascii="Courier New" w:hAnsi="Courier New"/>
      <w:sz w:val="20"/>
      <w:szCs w:val="20"/>
    </w:rPr>
  </w:style>
  <w:style w:type="character" w:customStyle="1" w:styleId="TextebrutCar">
    <w:name w:val="Texte brut Car"/>
    <w:basedOn w:val="Policepardfaut"/>
    <w:link w:val="Textebrut"/>
    <w:rsid w:val="00F568AA"/>
    <w:rPr>
      <w:rFonts w:ascii="Courier New" w:hAnsi="Courier New"/>
    </w:rPr>
  </w:style>
  <w:style w:type="paragraph" w:styleId="Textedebulles">
    <w:name w:val="Balloon Text"/>
    <w:basedOn w:val="Normal"/>
    <w:link w:val="TextedebullesCar"/>
    <w:rsid w:val="0044770A"/>
    <w:rPr>
      <w:rFonts w:ascii="Tahoma" w:hAnsi="Tahoma" w:cs="Tahoma"/>
      <w:sz w:val="16"/>
      <w:szCs w:val="16"/>
    </w:rPr>
  </w:style>
  <w:style w:type="character" w:customStyle="1" w:styleId="TextedebullesCar">
    <w:name w:val="Texte de bulles Car"/>
    <w:basedOn w:val="Policepardfaut"/>
    <w:link w:val="Textedebulles"/>
    <w:rsid w:val="0044770A"/>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3274">
      <w:bodyDiv w:val="1"/>
      <w:marLeft w:val="0"/>
      <w:marRight w:val="0"/>
      <w:marTop w:val="0"/>
      <w:marBottom w:val="0"/>
      <w:divBdr>
        <w:top w:val="none" w:sz="0" w:space="0" w:color="auto"/>
        <w:left w:val="none" w:sz="0" w:space="0" w:color="auto"/>
        <w:bottom w:val="none" w:sz="0" w:space="0" w:color="auto"/>
        <w:right w:val="none" w:sz="0" w:space="0" w:color="auto"/>
      </w:divBdr>
    </w:div>
    <w:div w:id="1375496818">
      <w:bodyDiv w:val="1"/>
      <w:marLeft w:val="0"/>
      <w:marRight w:val="0"/>
      <w:marTop w:val="0"/>
      <w:marBottom w:val="0"/>
      <w:divBdr>
        <w:top w:val="none" w:sz="0" w:space="0" w:color="auto"/>
        <w:left w:val="none" w:sz="0" w:space="0" w:color="auto"/>
        <w:bottom w:val="none" w:sz="0" w:space="0" w:color="auto"/>
        <w:right w:val="none" w:sz="0" w:space="0" w:color="auto"/>
      </w:divBdr>
    </w:div>
    <w:div w:id="16191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3107BF7-27C4-436B-9741-460E97C0DABA}"/>
</file>

<file path=customXml/itemProps2.xml><?xml version="1.0" encoding="utf-8"?>
<ds:datastoreItem xmlns:ds="http://schemas.openxmlformats.org/officeDocument/2006/customXml" ds:itemID="{D54D0DEA-10E3-46B0-9BC3-BAFE1F670A7E}"/>
</file>

<file path=customXml/itemProps3.xml><?xml version="1.0" encoding="utf-8"?>
<ds:datastoreItem xmlns:ds="http://schemas.openxmlformats.org/officeDocument/2006/customXml" ds:itemID="{833F532C-3455-4F66-99FE-F69CC974254B}"/>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3668</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RAPPORT DE LA COMMISSION DES AFFAIRES ETRANGERES ET</vt:lpstr>
    </vt:vector>
  </TitlesOfParts>
  <Company>C.I.E.</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Dennewaldj</dc:creator>
  <cp:keywords/>
  <cp:lastModifiedBy>SYSTEM</cp:lastModifiedBy>
  <cp:revision>2</cp:revision>
  <cp:lastPrinted>2010-05-12T13:16:00Z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