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B2" w:rsidRDefault="00EF38B2" w:rsidP="00EF38B2">
      <w:pPr>
        <w:jc w:val="both"/>
        <w:rPr>
          <w:b/>
        </w:rPr>
      </w:pPr>
      <w:bookmarkStart w:id="0" w:name="_GoBack"/>
      <w:bookmarkEnd w:id="0"/>
      <w:r>
        <w:rPr>
          <w:b/>
        </w:rPr>
        <w:t>RESUME 6043</w:t>
      </w:r>
    </w:p>
    <w:p w:rsidR="00D07F56" w:rsidRDefault="00D07F56" w:rsidP="00EF38B2">
      <w:pPr>
        <w:jc w:val="both"/>
        <w:rPr>
          <w:color w:val="000000"/>
        </w:rPr>
      </w:pPr>
    </w:p>
    <w:p w:rsidR="00D07F56" w:rsidRDefault="00EF38B2" w:rsidP="00D07F56">
      <w:pPr>
        <w:jc w:val="both"/>
      </w:pPr>
      <w:r w:rsidRPr="00780EE4">
        <w:rPr>
          <w:color w:val="000000"/>
        </w:rPr>
        <w:t xml:space="preserve">Le </w:t>
      </w:r>
      <w:r w:rsidR="00D07F56">
        <w:rPr>
          <w:color w:val="000000"/>
        </w:rPr>
        <w:t>projet de loi</w:t>
      </w:r>
      <w:r>
        <w:rPr>
          <w:color w:val="000000"/>
        </w:rPr>
        <w:t xml:space="preserve"> </w:t>
      </w:r>
      <w:r w:rsidR="0091149C">
        <w:rPr>
          <w:color w:val="000000"/>
        </w:rPr>
        <w:t xml:space="preserve">6043 </w:t>
      </w:r>
      <w:r w:rsidRPr="00780EE4">
        <w:rPr>
          <w:color w:val="000000"/>
        </w:rPr>
        <w:t>autorise le gouvernement à procéder à la construction de la Maison des sciences humaines à Belval pour</w:t>
      </w:r>
      <w:r>
        <w:rPr>
          <w:color w:val="000000"/>
        </w:rPr>
        <w:t xml:space="preserve"> les besoins de la Faculté des Lettres, des Sciences Humaines, des Arts et des S</w:t>
      </w:r>
      <w:r w:rsidRPr="00780EE4">
        <w:rPr>
          <w:color w:val="000000"/>
        </w:rPr>
        <w:t>ciences de l’</w:t>
      </w:r>
      <w:r>
        <w:rPr>
          <w:color w:val="000000"/>
        </w:rPr>
        <w:t>E</w:t>
      </w:r>
      <w:r w:rsidRPr="00780EE4">
        <w:rPr>
          <w:color w:val="000000"/>
        </w:rPr>
        <w:t>ducation de l’Université du Luxem</w:t>
      </w:r>
      <w:r>
        <w:rPr>
          <w:color w:val="000000"/>
        </w:rPr>
        <w:t>bourg</w:t>
      </w:r>
      <w:r w:rsidRPr="00780EE4">
        <w:rPr>
          <w:color w:val="000000"/>
        </w:rPr>
        <w:t>. Ce pôle des sciences humaines est le second pôle scientifique de la Cité des sciences</w:t>
      </w:r>
      <w:r>
        <w:rPr>
          <w:color w:val="000000"/>
        </w:rPr>
        <w:t xml:space="preserve"> qui </w:t>
      </w:r>
      <w:r w:rsidRPr="008C3ECF">
        <w:t xml:space="preserve">se compose d’un ensemble de 10 à 15 bâtiments indépendants qui regroupent les fonctions spécifiques de l’enseignement et de la recherche, ainsi que les fonctions périphériques à l’Université du Luxembourg. </w:t>
      </w:r>
    </w:p>
    <w:p w:rsidR="00D07F56" w:rsidRDefault="00D07F56" w:rsidP="00D07F56">
      <w:pPr>
        <w:jc w:val="both"/>
      </w:pPr>
    </w:p>
    <w:p w:rsidR="00EF38B2" w:rsidRDefault="00EF38B2" w:rsidP="0091149C">
      <w:pPr>
        <w:autoSpaceDE w:val="0"/>
        <w:autoSpaceDN w:val="0"/>
        <w:adjustRightInd w:val="0"/>
        <w:jc w:val="both"/>
        <w:rPr>
          <w:rFonts w:eastAsia="Calibri"/>
        </w:rPr>
      </w:pPr>
      <w:r w:rsidRPr="00457CEF">
        <w:rPr>
          <w:rFonts w:eastAsia="Calibri"/>
        </w:rPr>
        <w:t>La conception de la Maison des Sciences Humaines permet un maximum de fonctionnalité pour</w:t>
      </w:r>
      <w:r>
        <w:rPr>
          <w:rFonts w:eastAsia="Calibri"/>
        </w:rPr>
        <w:t xml:space="preserve"> </w:t>
      </w:r>
      <w:r w:rsidRPr="00457CEF">
        <w:rPr>
          <w:rFonts w:eastAsia="Calibri"/>
        </w:rPr>
        <w:t>rendre possible des synergies entre les équipes de chercheurs et l’utilisation optimale des équipements</w:t>
      </w:r>
      <w:r>
        <w:rPr>
          <w:rFonts w:eastAsia="Calibri"/>
        </w:rPr>
        <w:t xml:space="preserve"> </w:t>
      </w:r>
      <w:r w:rsidRPr="00457CEF">
        <w:rPr>
          <w:rFonts w:eastAsia="Calibri"/>
        </w:rPr>
        <w:t>spécialisés. La flexibilité de la structure et du compartimentage répondent aux besoins de changements</w:t>
      </w:r>
      <w:r>
        <w:rPr>
          <w:rFonts w:eastAsia="Calibri"/>
        </w:rPr>
        <w:t xml:space="preserve"> </w:t>
      </w:r>
      <w:r w:rsidRPr="00457CEF">
        <w:rPr>
          <w:rFonts w:eastAsia="Calibri"/>
        </w:rPr>
        <w:t>rapides et prévisibles du monde de la recherche.</w:t>
      </w:r>
      <w:r w:rsidR="0091149C">
        <w:rPr>
          <w:rFonts w:eastAsia="Calibri"/>
        </w:rPr>
        <w:t xml:space="preserve"> </w:t>
      </w:r>
      <w:r w:rsidRPr="00457CEF">
        <w:rPr>
          <w:rFonts w:eastAsia="Calibri"/>
        </w:rPr>
        <w:t>L’activité scientifique est l’activité principale dans la Maison des Sciences Humaines et se caractérise</w:t>
      </w:r>
      <w:r>
        <w:rPr>
          <w:rFonts w:eastAsia="Calibri"/>
        </w:rPr>
        <w:t xml:space="preserve"> par la recherche de l’enseignement. Les activités secondaires de l’université connaissent trois volets :</w:t>
      </w:r>
    </w:p>
    <w:p w:rsidR="00EF38B2" w:rsidRPr="00D63ED5" w:rsidRDefault="00EF38B2" w:rsidP="00EF38B2">
      <w:pPr>
        <w:numPr>
          <w:ilvl w:val="0"/>
          <w:numId w:val="2"/>
        </w:numPr>
        <w:jc w:val="both"/>
      </w:pPr>
      <w:r>
        <w:rPr>
          <w:rFonts w:eastAsia="Calibri"/>
        </w:rPr>
        <w:t>un soutien logistique et infrastructurel pour accompagner les activités principales ;</w:t>
      </w:r>
    </w:p>
    <w:p w:rsidR="00EF38B2" w:rsidRPr="00D63ED5" w:rsidRDefault="00EF38B2" w:rsidP="00EF38B2">
      <w:pPr>
        <w:numPr>
          <w:ilvl w:val="0"/>
          <w:numId w:val="2"/>
        </w:numPr>
        <w:jc w:val="both"/>
      </w:pPr>
      <w:r>
        <w:rPr>
          <w:rFonts w:eastAsia="Calibri"/>
        </w:rPr>
        <w:t>des activités sociales et culturelles ;</w:t>
      </w:r>
    </w:p>
    <w:p w:rsidR="00EF38B2" w:rsidRPr="00517D50" w:rsidRDefault="00EF38B2" w:rsidP="00EF38B2">
      <w:pPr>
        <w:numPr>
          <w:ilvl w:val="0"/>
          <w:numId w:val="2"/>
        </w:numPr>
        <w:jc w:val="both"/>
      </w:pPr>
      <w:r>
        <w:rPr>
          <w:rFonts w:eastAsia="Calibri"/>
        </w:rPr>
        <w:t xml:space="preserve">la mise à disposition de points de vente pour l’approvisionnement divers du personnel de la structure et du grand public. </w:t>
      </w:r>
    </w:p>
    <w:p w:rsidR="00EF38B2" w:rsidRDefault="00EF38B2" w:rsidP="00EF38B2">
      <w:pPr>
        <w:jc w:val="both"/>
        <w:rPr>
          <w:rFonts w:eastAsia="Calibri"/>
        </w:rPr>
      </w:pPr>
    </w:p>
    <w:p w:rsidR="00EF38B2" w:rsidRDefault="00EF38B2" w:rsidP="0091149C">
      <w:pPr>
        <w:jc w:val="both"/>
        <w:rPr>
          <w:rFonts w:eastAsia="Calibri"/>
        </w:rPr>
      </w:pPr>
      <w:r w:rsidRPr="00663556">
        <w:rPr>
          <w:rFonts w:eastAsia="Calibri"/>
        </w:rPr>
        <w:t>La Maison des Sciences Humaines sera implantée sur une parcelle située au Nord du bâtiment</w:t>
      </w:r>
      <w:r w:rsidR="00D07F56">
        <w:rPr>
          <w:rFonts w:eastAsia="Calibri"/>
        </w:rPr>
        <w:t xml:space="preserve"> </w:t>
      </w:r>
      <w:r w:rsidRPr="00663556">
        <w:rPr>
          <w:rFonts w:eastAsia="Calibri"/>
        </w:rPr>
        <w:t>principal de la Banque Dexia. La parcelle est bordée à l’Ouest par le boulevard urbain „Porte de</w:t>
      </w:r>
      <w:r>
        <w:rPr>
          <w:rFonts w:eastAsia="Calibri"/>
        </w:rPr>
        <w:t xml:space="preserve"> </w:t>
      </w:r>
      <w:r w:rsidRPr="00663556">
        <w:rPr>
          <w:rFonts w:eastAsia="Calibri"/>
        </w:rPr>
        <w:t>France“. Du côté Est de la parcelle se situe le terrain d’impl</w:t>
      </w:r>
      <w:r w:rsidR="00122192">
        <w:rPr>
          <w:rFonts w:eastAsia="Calibri"/>
        </w:rPr>
        <w:t>antation de la Maison du Savoir</w:t>
      </w:r>
      <w:r w:rsidRPr="00663556">
        <w:rPr>
          <w:rFonts w:eastAsia="Calibri"/>
        </w:rPr>
        <w:t>.</w:t>
      </w:r>
      <w:r w:rsidR="0091149C">
        <w:rPr>
          <w:rFonts w:eastAsia="Calibri"/>
        </w:rPr>
        <w:t xml:space="preserve"> </w:t>
      </w:r>
      <w:r w:rsidRPr="00663556">
        <w:rPr>
          <w:rFonts w:eastAsia="Calibri"/>
        </w:rPr>
        <w:t>La parcelle a une superficie de 8.300 m2. Elle est destinée, outre à la construction de la Maison des</w:t>
      </w:r>
      <w:r>
        <w:rPr>
          <w:rFonts w:eastAsia="Calibri"/>
        </w:rPr>
        <w:t xml:space="preserve"> </w:t>
      </w:r>
      <w:r w:rsidRPr="00663556">
        <w:rPr>
          <w:rFonts w:eastAsia="Calibri"/>
        </w:rPr>
        <w:t>Sciences Humaines, à l’implantation de quelques 140 logements pour étudiants et 30 appartements</w:t>
      </w:r>
      <w:r>
        <w:rPr>
          <w:rFonts w:eastAsia="Calibri"/>
        </w:rPr>
        <w:t xml:space="preserve"> </w:t>
      </w:r>
      <w:r w:rsidRPr="00663556">
        <w:rPr>
          <w:rFonts w:eastAsia="Calibri"/>
        </w:rPr>
        <w:t>pour chercheurs, qui seront réalisés dans le programme d’ensemble de la Cité des Sciences, de la</w:t>
      </w:r>
      <w:r>
        <w:rPr>
          <w:rFonts w:eastAsia="Calibri"/>
        </w:rPr>
        <w:t xml:space="preserve"> </w:t>
      </w:r>
      <w:r w:rsidRPr="00663556">
        <w:rPr>
          <w:rFonts w:eastAsia="Calibri"/>
        </w:rPr>
        <w:t>Recherche et de l’Innovation.</w:t>
      </w:r>
    </w:p>
    <w:p w:rsidR="0091149C" w:rsidRDefault="0091149C" w:rsidP="00EF38B2">
      <w:pPr>
        <w:autoSpaceDE w:val="0"/>
        <w:autoSpaceDN w:val="0"/>
        <w:adjustRightInd w:val="0"/>
        <w:jc w:val="both"/>
        <w:rPr>
          <w:rFonts w:eastAsia="Calibri"/>
        </w:rPr>
      </w:pPr>
    </w:p>
    <w:p w:rsidR="00EF38B2" w:rsidRPr="001701DA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  <w:r w:rsidRPr="001701DA">
        <w:rPr>
          <w:rFonts w:eastAsia="Calibri"/>
        </w:rPr>
        <w:t>L’entrée de la Maison des Sciences Humaines est située sur le parvis couvert desservant la librairie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universitaire, ainsi qu’un bistrot ouvert au public.</w:t>
      </w: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  <w:r w:rsidRPr="001701DA">
        <w:rPr>
          <w:rFonts w:eastAsia="Calibri"/>
        </w:rPr>
        <w:t>Les différentes zones du programme de construction sont distribuées à partir du foyer qui est l’accès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principal u</w:t>
      </w:r>
      <w:r>
        <w:rPr>
          <w:rFonts w:eastAsia="Calibri"/>
        </w:rPr>
        <w:t xml:space="preserve">nique du bâtiment et sert de nœud </w:t>
      </w:r>
      <w:r w:rsidRPr="001701DA">
        <w:rPr>
          <w:rFonts w:eastAsia="Calibri"/>
        </w:rPr>
        <w:t>central de distribution. Le foyer comporte toutes les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fonctions d’accueil et d’orientation, d’attente, de surveillance et permet d’organiser éventuellement des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expositions thématiques liées à la recherche. Le hall d’entrée sera l’articulation centrale de la vie</w:t>
      </w:r>
      <w:r>
        <w:rPr>
          <w:rFonts w:eastAsia="Calibri"/>
        </w:rPr>
        <w:t xml:space="preserve"> </w:t>
      </w:r>
      <w:r w:rsidR="00122192">
        <w:rPr>
          <w:rFonts w:eastAsia="Calibri"/>
        </w:rPr>
        <w:t>sociale</w:t>
      </w:r>
      <w:r w:rsidRPr="001701DA">
        <w:rPr>
          <w:rFonts w:eastAsia="Calibri"/>
        </w:rPr>
        <w:t xml:space="preserve"> de la Maison des Sciences Humaines, le lieu de passage obligé de tous.</w:t>
      </w: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  <w:r w:rsidRPr="001701DA">
        <w:rPr>
          <w:rFonts w:eastAsia="Calibri"/>
        </w:rPr>
        <w:t>Le plateau technique de la recherche et de l’enseignement regro</w:t>
      </w:r>
      <w:r>
        <w:rPr>
          <w:rFonts w:eastAsia="Calibri"/>
        </w:rPr>
        <w:t xml:space="preserve">upe tous les locaux à caractère </w:t>
      </w:r>
      <w:r w:rsidRPr="001701DA">
        <w:rPr>
          <w:rFonts w:eastAsia="Calibri"/>
        </w:rPr>
        <w:t>spécifique nécessaires à la recherche et à l’enseigneme</w:t>
      </w:r>
      <w:r>
        <w:rPr>
          <w:rFonts w:eastAsia="Calibri"/>
        </w:rPr>
        <w:t xml:space="preserve">nt dans le domaine des Sciences </w:t>
      </w:r>
      <w:r w:rsidRPr="001701DA">
        <w:rPr>
          <w:rFonts w:eastAsia="Calibri"/>
        </w:rPr>
        <w:t>Humaines.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Le plateau technique de recherche est situé sur les quatre étages inférieurs de l’immeuble. La salle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polyvalente se trouve au rez-de-chaussée dans le prolongement du hall d’entrée. Elle est conçue pour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rester flexible dans son utilisation. Le cloisonnement mobile de la salle permet plusieurs configurations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d’utilisation soit comme extension du foyer central soit comme une grande salle pour manifestations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soit encore comme deux salles de réunions. Quatre autres salles destinées à des réunions de travail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viennent compléter l’offre pour couvrir les besoins des activités publiques de la recherche.</w:t>
      </w: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  <w:r w:rsidRPr="001701DA">
        <w:rPr>
          <w:rFonts w:eastAsia="Calibri"/>
        </w:rPr>
        <w:t>Au premier étage sont situées les salles de séminaires</w:t>
      </w:r>
      <w:r>
        <w:rPr>
          <w:rFonts w:eastAsia="Calibri"/>
        </w:rPr>
        <w:t xml:space="preserve"> pouvant accueillir jusqu’à 50 personnes</w:t>
      </w:r>
      <w:r w:rsidRPr="001701DA">
        <w:rPr>
          <w:rFonts w:eastAsia="Calibri"/>
        </w:rPr>
        <w:t>, les s</w:t>
      </w:r>
      <w:r>
        <w:rPr>
          <w:rFonts w:eastAsia="Calibri"/>
        </w:rPr>
        <w:t xml:space="preserve">alles de travaux pratiques, les </w:t>
      </w:r>
      <w:r w:rsidRPr="001701DA">
        <w:rPr>
          <w:rFonts w:eastAsia="Calibri"/>
        </w:rPr>
        <w:t>salles et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laboratoires multimédia et les laboratoires de cognition et de phonétique.</w:t>
      </w:r>
    </w:p>
    <w:p w:rsidR="00EF38B2" w:rsidRDefault="00EF38B2" w:rsidP="00EF38B2">
      <w:pPr>
        <w:autoSpaceDE w:val="0"/>
        <w:autoSpaceDN w:val="0"/>
        <w:adjustRightInd w:val="0"/>
        <w:rPr>
          <w:rFonts w:eastAsia="Calibri"/>
        </w:rPr>
      </w:pPr>
      <w:r w:rsidRPr="001701DA">
        <w:rPr>
          <w:rFonts w:eastAsia="Calibri"/>
        </w:rPr>
        <w:lastRenderedPageBreak/>
        <w:t>Les espaces de bureaux sont</w:t>
      </w:r>
      <w:r>
        <w:rPr>
          <w:rFonts w:eastAsia="Calibri"/>
        </w:rPr>
        <w:t xml:space="preserve"> subdivisés en deux catégories : l</w:t>
      </w:r>
      <w:r w:rsidRPr="001701DA">
        <w:rPr>
          <w:rFonts w:eastAsia="Calibri"/>
        </w:rPr>
        <w:t>es bur</w:t>
      </w:r>
      <w:r>
        <w:rPr>
          <w:rFonts w:eastAsia="Calibri"/>
        </w:rPr>
        <w:t xml:space="preserve">eaux destinés aux activités de </w:t>
      </w:r>
      <w:r w:rsidRPr="001701DA">
        <w:rPr>
          <w:rFonts w:eastAsia="Calibri"/>
        </w:rPr>
        <w:t>recherche et les bureaux de l’administration centrale de la Maison des Sciences Humaines.</w:t>
      </w: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  <w:r w:rsidRPr="001701DA">
        <w:rPr>
          <w:rFonts w:eastAsia="Calibri"/>
        </w:rPr>
        <w:t>La logistique de l’immeuble comporte tous les locaux de logistique technique ainsi que les locaux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nécessaires à la gestion domestique de l’immeuble.</w:t>
      </w: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  <w:r w:rsidRPr="001701DA">
        <w:rPr>
          <w:rFonts w:eastAsia="Calibri"/>
        </w:rPr>
        <w:t>La Maison des Sciences Humaines est conçue dans l’esprit de la conception durable. La simplicité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architecturale, la compacité du volume, la réduction des installations techniques et une structure massive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permettent la mise en place d’un bâtiment au fonctionnement clair et avec de faibles coûts d’exploitation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et d’entretien, sans pour autant préjudicier le confort des utilisateurs. Il s’agit d’un lieu de</w:t>
      </w:r>
      <w:r>
        <w:rPr>
          <w:rFonts w:eastAsia="Calibri"/>
        </w:rPr>
        <w:t xml:space="preserve"> </w:t>
      </w:r>
      <w:r w:rsidRPr="001701DA">
        <w:rPr>
          <w:rFonts w:eastAsia="Calibri"/>
        </w:rPr>
        <w:t>travail et de concentration, mais en même temps d’un lieu de vie.</w:t>
      </w:r>
      <w:r w:rsidR="0091149C">
        <w:rPr>
          <w:rFonts w:eastAsia="Calibri"/>
        </w:rPr>
        <w:t xml:space="preserve"> </w:t>
      </w:r>
      <w:r w:rsidRPr="000C27C6">
        <w:rPr>
          <w:rFonts w:eastAsia="Calibri"/>
        </w:rPr>
        <w:t>La forme simple et épurée du bâtiment est essentiellement générée par les contraintes urbanistiques</w:t>
      </w:r>
      <w:r>
        <w:rPr>
          <w:rFonts w:eastAsia="Calibri"/>
        </w:rPr>
        <w:t xml:space="preserve">, </w:t>
      </w:r>
      <w:r w:rsidRPr="000C27C6">
        <w:rPr>
          <w:rFonts w:eastAsia="Calibri"/>
        </w:rPr>
        <w:t>d’une part</w:t>
      </w:r>
      <w:r>
        <w:rPr>
          <w:rFonts w:eastAsia="Calibri"/>
        </w:rPr>
        <w:t>,</w:t>
      </w:r>
      <w:r w:rsidRPr="000C27C6">
        <w:rPr>
          <w:rFonts w:eastAsia="Calibri"/>
        </w:rPr>
        <w:t xml:space="preserve"> et</w:t>
      </w:r>
      <w:r>
        <w:rPr>
          <w:rFonts w:eastAsia="Calibri"/>
        </w:rPr>
        <w:t>,</w:t>
      </w:r>
      <w:r w:rsidRPr="000C27C6">
        <w:rPr>
          <w:rFonts w:eastAsia="Calibri"/>
        </w:rPr>
        <w:t xml:space="preserve"> d’autre part par l’exigence de flexibilité du bâtiment. Un volume sans artifices, revêtu</w:t>
      </w:r>
      <w:r>
        <w:rPr>
          <w:rFonts w:eastAsia="Calibri"/>
        </w:rPr>
        <w:t xml:space="preserve"> </w:t>
      </w:r>
      <w:r w:rsidRPr="000C27C6">
        <w:rPr>
          <w:rFonts w:eastAsia="Calibri"/>
        </w:rPr>
        <w:t>d’une peau en fibre béton rugueuse et mate, posé sur un rez-de-chaussée vitré et transparent, reprend</w:t>
      </w:r>
      <w:r>
        <w:rPr>
          <w:rFonts w:eastAsia="Calibri"/>
        </w:rPr>
        <w:t xml:space="preserve"> </w:t>
      </w:r>
      <w:r w:rsidRPr="000C27C6">
        <w:rPr>
          <w:rFonts w:eastAsia="Calibri"/>
        </w:rPr>
        <w:t>les limites de propriété.</w:t>
      </w: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  <w:r w:rsidRPr="00412E13">
        <w:rPr>
          <w:rFonts w:eastAsia="Calibri"/>
        </w:rPr>
        <w:t>Le cadre spécifique de l’urbanisation du site de Belval offre l’opportunité unique de développer un</w:t>
      </w:r>
      <w:r>
        <w:rPr>
          <w:rFonts w:eastAsia="Calibri"/>
        </w:rPr>
        <w:t xml:space="preserve"> </w:t>
      </w:r>
      <w:r w:rsidRPr="00412E13">
        <w:rPr>
          <w:rFonts w:eastAsia="Calibri"/>
        </w:rPr>
        <w:t>projet-pilote quant à l’utilisation rationnelle de l’énergie, l’intégration des sources d’énergies</w:t>
      </w:r>
      <w:r>
        <w:rPr>
          <w:rFonts w:eastAsia="Calibri"/>
        </w:rPr>
        <w:t xml:space="preserve"> </w:t>
      </w:r>
      <w:r w:rsidRPr="00412E13">
        <w:rPr>
          <w:rFonts w:eastAsia="Calibri"/>
        </w:rPr>
        <w:t>renouvelables et des types de construction à faible consommation d’énergie qui s’inscrivent parfaitement</w:t>
      </w:r>
      <w:r>
        <w:rPr>
          <w:rFonts w:eastAsia="Calibri"/>
        </w:rPr>
        <w:t xml:space="preserve"> </w:t>
      </w:r>
      <w:r w:rsidRPr="00412E13">
        <w:rPr>
          <w:rFonts w:eastAsia="Calibri"/>
        </w:rPr>
        <w:t>dans un contexte de développement durable et d’une utilisation rationnelle de l’énergie.</w:t>
      </w:r>
      <w:r w:rsidR="0091149C">
        <w:rPr>
          <w:rFonts w:eastAsia="Calibri"/>
        </w:rPr>
        <w:t xml:space="preserve"> </w:t>
      </w:r>
      <w:r w:rsidRPr="00412E13">
        <w:rPr>
          <w:rFonts w:eastAsia="Calibri"/>
        </w:rPr>
        <w:t>Le bâtiment est conçu de façon à garantir des consommations énergétiques réduites tout en garantissant</w:t>
      </w:r>
      <w:r>
        <w:rPr>
          <w:rFonts w:eastAsia="Calibri"/>
        </w:rPr>
        <w:t xml:space="preserve"> </w:t>
      </w:r>
      <w:r w:rsidRPr="00412E13">
        <w:rPr>
          <w:rFonts w:eastAsia="Calibri"/>
        </w:rPr>
        <w:t>un confort satisfaisant pour les utilisateurs.</w:t>
      </w: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</w:rPr>
      </w:pPr>
    </w:p>
    <w:p w:rsidR="00EF38B2" w:rsidRDefault="00EF38B2" w:rsidP="00EF38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Le coût engendré par le projet ne pourra pas dépasser le montant total de 67.414.725- euros, ce montant correspondant à la valeur 66</w:t>
      </w:r>
      <w:r w:rsidR="00D07F56">
        <w:rPr>
          <w:rFonts w:ascii="Times-Roman" w:hAnsi="Times-Roman" w:cs="Times-Roman"/>
        </w:rPr>
        <w:t>6</w:t>
      </w:r>
      <w:r>
        <w:rPr>
          <w:rFonts w:ascii="Times-Roman" w:hAnsi="Times-Roman" w:cs="Times-Roman"/>
        </w:rPr>
        <w:t>,12 de l’indice semestriel des prix de la construction au 1</w:t>
      </w:r>
      <w:r w:rsidRPr="006252E5">
        <w:rPr>
          <w:rFonts w:ascii="Times-Roman" w:hAnsi="Times-Roman" w:cs="Times-Roman"/>
          <w:vertAlign w:val="superscript"/>
        </w:rPr>
        <w:t>er</w:t>
      </w:r>
      <w:r>
        <w:rPr>
          <w:rFonts w:ascii="Times-Roman" w:hAnsi="Times-Roman" w:cs="Times-Roman"/>
          <w:vertAlign w:val="superscript"/>
        </w:rPr>
        <w:t xml:space="preserve">  </w:t>
      </w:r>
      <w:r>
        <w:rPr>
          <w:rFonts w:ascii="Times-Roman" w:hAnsi="Times-Roman" w:cs="Times-Roman"/>
        </w:rPr>
        <w:t>avril 2008. Les frais d’entretien et de consommation annuels sont, quant à eux, évalués à 1.473.000 euros.</w:t>
      </w:r>
    </w:p>
    <w:p w:rsidR="00EF38B2" w:rsidRDefault="00EF38B2" w:rsidP="00EF38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EF38B2" w:rsidRDefault="00EF38B2" w:rsidP="00EF38B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10ACE" w:rsidRDefault="00210ACE"/>
    <w:sectPr w:rsidR="00210ACE" w:rsidSect="00210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25E"/>
    <w:multiLevelType w:val="hybridMultilevel"/>
    <w:tmpl w:val="50867BDE"/>
    <w:lvl w:ilvl="0" w:tplc="0F546F7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3445A"/>
    <w:multiLevelType w:val="hybridMultilevel"/>
    <w:tmpl w:val="00C24AE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16BE8"/>
    <w:multiLevelType w:val="hybridMultilevel"/>
    <w:tmpl w:val="A30C7E2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8B2"/>
    <w:rsid w:val="00122192"/>
    <w:rsid w:val="00210ACE"/>
    <w:rsid w:val="00452A1A"/>
    <w:rsid w:val="00763CAE"/>
    <w:rsid w:val="0091149C"/>
    <w:rsid w:val="00D07F56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B8180A-DAA2-4FDD-B1BF-F4D090C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B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14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4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DP6043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6043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/sftpecos/Dossiers_parlementaires/6043/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5319B40-DD29-4762-A6F7-EEEAEEA37ED8}"/>
</file>

<file path=customXml/itemProps2.xml><?xml version="1.0" encoding="utf-8"?>
<ds:datastoreItem xmlns:ds="http://schemas.openxmlformats.org/officeDocument/2006/customXml" ds:itemID="{CAECEE53-5808-4925-A5FD-D6AAB87C16B3}"/>
</file>

<file path=customXml/itemProps3.xml><?xml version="1.0" encoding="utf-8"?>
<ds:datastoreItem xmlns:ds="http://schemas.openxmlformats.org/officeDocument/2006/customXml" ds:itemID="{7B8F46E9-FD71-42FE-AEA6-96543A2EC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4767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2009-10-23T13:52:00Z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