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BFE" w:rsidRPr="00A74812" w:rsidRDefault="00AE1303" w:rsidP="00791AA4">
      <w:pPr>
        <w:jc w:val="center"/>
        <w:rPr>
          <w:rFonts w:ascii="Arial" w:hAnsi="Arial" w:cs="Arial"/>
          <w:b/>
        </w:rPr>
      </w:pPr>
      <w:bookmarkStart w:id="0" w:name="_GoBack"/>
      <w:bookmarkEnd w:id="0"/>
      <w:r>
        <w:rPr>
          <w:rFonts w:ascii="Arial" w:hAnsi="Arial" w:cs="Arial"/>
          <w:b/>
        </w:rPr>
        <w:t>6023</w:t>
      </w:r>
    </w:p>
    <w:p w:rsidR="00791AA4" w:rsidRDefault="00791AA4" w:rsidP="00791AA4">
      <w:pPr>
        <w:jc w:val="center"/>
        <w:rPr>
          <w:b/>
        </w:rPr>
      </w:pPr>
    </w:p>
    <w:p w:rsidR="00A74812" w:rsidRPr="00A962DC" w:rsidRDefault="00A74812" w:rsidP="00A74812">
      <w:pPr>
        <w:autoSpaceDE w:val="0"/>
        <w:autoSpaceDN w:val="0"/>
        <w:adjustRightInd w:val="0"/>
        <w:jc w:val="center"/>
        <w:rPr>
          <w:rFonts w:ascii="Arial" w:hAnsi="Arial" w:cs="Arial"/>
          <w:sz w:val="22"/>
          <w:szCs w:val="22"/>
          <w:lang w:val="fr-LU"/>
        </w:rPr>
      </w:pPr>
    </w:p>
    <w:p w:rsidR="00AE1303" w:rsidRPr="00213851" w:rsidRDefault="00AE1303" w:rsidP="00AE1303">
      <w:pPr>
        <w:autoSpaceDE w:val="0"/>
        <w:autoSpaceDN w:val="0"/>
        <w:adjustRightInd w:val="0"/>
        <w:jc w:val="center"/>
        <w:rPr>
          <w:rFonts w:ascii="Arial" w:hAnsi="Arial" w:cs="Arial"/>
          <w:b/>
          <w:bCs/>
          <w:lang w:val="fr-LU"/>
        </w:rPr>
      </w:pPr>
      <w:r w:rsidRPr="00213851">
        <w:rPr>
          <w:rFonts w:ascii="Arial" w:hAnsi="Arial" w:cs="Arial"/>
          <w:b/>
          <w:bCs/>
          <w:lang w:val="fr-LU"/>
        </w:rPr>
        <w:t>Projet de loi</w:t>
      </w:r>
    </w:p>
    <w:p w:rsidR="00AE1303" w:rsidRPr="00213851" w:rsidRDefault="00AE1303" w:rsidP="00AE1303">
      <w:pPr>
        <w:ind w:left="1134" w:right="1134"/>
        <w:jc w:val="both"/>
        <w:rPr>
          <w:rFonts w:ascii="Arial" w:hAnsi="Arial" w:cs="Arial"/>
          <w:b/>
          <w:lang w:val="fr-LU"/>
        </w:rPr>
      </w:pPr>
      <w:r w:rsidRPr="00213851">
        <w:rPr>
          <w:rFonts w:ascii="Arial" w:hAnsi="Arial" w:cs="Arial"/>
          <w:b/>
          <w:lang w:val="fr-LU"/>
        </w:rPr>
        <w:t>portant modification de la loi modifiée du 19 juillet 2004 concernant l’aménagement communal et le développement urbain</w:t>
      </w:r>
      <w:r>
        <w:rPr>
          <w:rFonts w:ascii="Arial" w:hAnsi="Arial" w:cs="Arial"/>
          <w:b/>
          <w:lang w:val="fr-LU"/>
        </w:rPr>
        <w:t xml:space="preserve"> </w:t>
      </w:r>
      <w:r w:rsidRPr="00213851">
        <w:rPr>
          <w:rFonts w:ascii="Arial" w:hAnsi="Arial" w:cs="Arial"/>
          <w:b/>
          <w:lang w:val="fr-LU"/>
        </w:rPr>
        <w:t>et modifiant</w:t>
      </w:r>
    </w:p>
    <w:p w:rsidR="00AE1303" w:rsidRPr="00213851" w:rsidRDefault="00AE1303" w:rsidP="00AE1303">
      <w:pPr>
        <w:ind w:left="1134" w:right="1134"/>
        <w:jc w:val="both"/>
        <w:rPr>
          <w:rFonts w:ascii="Arial" w:hAnsi="Arial" w:cs="Arial"/>
          <w:b/>
          <w:lang w:val="fr-LU"/>
        </w:rPr>
      </w:pPr>
    </w:p>
    <w:p w:rsidR="00AE1303" w:rsidRPr="00213851" w:rsidRDefault="00AE1303" w:rsidP="00AE1303">
      <w:pPr>
        <w:ind w:left="1134" w:right="1134"/>
        <w:jc w:val="both"/>
        <w:rPr>
          <w:rFonts w:ascii="Arial" w:hAnsi="Arial" w:cs="Arial"/>
          <w:b/>
          <w:lang w:val="fr-LU"/>
        </w:rPr>
      </w:pPr>
      <w:r w:rsidRPr="00213851">
        <w:rPr>
          <w:rFonts w:ascii="Arial" w:hAnsi="Arial" w:cs="Arial"/>
          <w:b/>
          <w:lang w:val="fr-LU"/>
        </w:rPr>
        <w:t>1. la loi communale modifiée du 13 décembre 1988,</w:t>
      </w:r>
    </w:p>
    <w:p w:rsidR="00AE1303" w:rsidRPr="00213851" w:rsidRDefault="00AE1303" w:rsidP="00AE1303">
      <w:pPr>
        <w:tabs>
          <w:tab w:val="left" w:pos="993"/>
        </w:tabs>
        <w:ind w:left="1134" w:right="1134"/>
        <w:jc w:val="both"/>
        <w:rPr>
          <w:rFonts w:ascii="Arial" w:hAnsi="Arial" w:cs="Arial"/>
          <w:b/>
          <w:lang w:val="fr-LU"/>
        </w:rPr>
      </w:pPr>
      <w:r w:rsidRPr="00213851">
        <w:rPr>
          <w:rFonts w:ascii="Arial" w:hAnsi="Arial" w:cs="Arial"/>
          <w:b/>
          <w:lang w:val="fr-LU"/>
        </w:rPr>
        <w:t>2. la loi modifiée du 28 décembre 1988 réglementant l’accès aux professions d’artisan, de commerçant, d’industriel ainsi qu’à certaines professions libérales,</w:t>
      </w:r>
    </w:p>
    <w:p w:rsidR="00AE1303" w:rsidRPr="00213851" w:rsidRDefault="00AE1303" w:rsidP="00AE1303">
      <w:pPr>
        <w:ind w:left="1134" w:right="1134"/>
        <w:jc w:val="both"/>
        <w:rPr>
          <w:rFonts w:ascii="Arial" w:hAnsi="Arial" w:cs="Arial"/>
          <w:b/>
          <w:lang w:val="fr-LU"/>
        </w:rPr>
      </w:pPr>
      <w:r w:rsidRPr="00213851">
        <w:rPr>
          <w:rFonts w:ascii="Arial" w:hAnsi="Arial" w:cs="Arial"/>
          <w:b/>
          <w:lang w:val="fr-LU"/>
        </w:rPr>
        <w:t>3. la loi modifiée du 19 janvier 2004 concernant la protection de la nature et des ressources naturelles,</w:t>
      </w:r>
    </w:p>
    <w:p w:rsidR="00AE1303" w:rsidRPr="00213851" w:rsidRDefault="00AE1303" w:rsidP="00AE1303">
      <w:pPr>
        <w:ind w:left="1134" w:right="1134"/>
        <w:jc w:val="both"/>
        <w:rPr>
          <w:rFonts w:ascii="Arial" w:hAnsi="Arial" w:cs="Arial"/>
          <w:b/>
          <w:bCs/>
          <w:iCs/>
          <w:lang w:val="fr-LU"/>
        </w:rPr>
      </w:pPr>
      <w:r w:rsidRPr="00213851">
        <w:rPr>
          <w:rFonts w:ascii="Arial" w:hAnsi="Arial" w:cs="Arial"/>
          <w:b/>
          <w:lang w:val="fr-LU"/>
        </w:rPr>
        <w:t>4. la loi du 19 décembre 2008 relative à l’eau</w:t>
      </w:r>
    </w:p>
    <w:p w:rsidR="00AE1303" w:rsidRDefault="00AE1303" w:rsidP="00A74812">
      <w:pPr>
        <w:autoSpaceDE w:val="0"/>
        <w:autoSpaceDN w:val="0"/>
        <w:adjustRightInd w:val="0"/>
        <w:jc w:val="center"/>
        <w:rPr>
          <w:rFonts w:ascii="Arial" w:hAnsi="Arial" w:cs="Arial"/>
          <w:b/>
          <w:bCs/>
          <w:lang w:val="fr-LU"/>
        </w:rPr>
      </w:pPr>
    </w:p>
    <w:p w:rsidR="003428B6" w:rsidRDefault="003428B6" w:rsidP="003428B6">
      <w:pPr>
        <w:jc w:val="center"/>
        <w:rPr>
          <w:b/>
          <w:lang w:val="fr-LU"/>
        </w:rPr>
      </w:pPr>
    </w:p>
    <w:p w:rsidR="00AE1303" w:rsidRDefault="00AE1303" w:rsidP="003428B6">
      <w:pPr>
        <w:jc w:val="center"/>
        <w:rPr>
          <w:b/>
          <w:lang w:val="fr-LU"/>
        </w:rPr>
      </w:pPr>
    </w:p>
    <w:p w:rsidR="00C8356A" w:rsidRDefault="00BD4DD7" w:rsidP="00C8356A">
      <w:pPr>
        <w:autoSpaceDE w:val="0"/>
        <w:autoSpaceDN w:val="0"/>
        <w:adjustRightInd w:val="0"/>
        <w:jc w:val="both"/>
        <w:rPr>
          <w:rFonts w:ascii="Arial" w:hAnsi="Arial" w:cs="Arial"/>
          <w:bCs/>
          <w:sz w:val="22"/>
          <w:szCs w:val="22"/>
        </w:rPr>
      </w:pPr>
      <w:r>
        <w:rPr>
          <w:rFonts w:ascii="Arial" w:hAnsi="Arial" w:cs="Arial"/>
          <w:sz w:val="22"/>
          <w:szCs w:val="22"/>
          <w:lang w:val="fr-LU" w:eastAsia="fr-LU"/>
        </w:rPr>
        <w:t xml:space="preserve">L’objet du projet de loi sous rubrique </w:t>
      </w:r>
      <w:r w:rsidR="00183F3B">
        <w:rPr>
          <w:rFonts w:ascii="Arial" w:hAnsi="Arial" w:cs="Arial"/>
          <w:sz w:val="22"/>
          <w:szCs w:val="22"/>
          <w:lang w:val="fr-LU" w:eastAsia="fr-LU"/>
        </w:rPr>
        <w:t xml:space="preserve">est un ajustement de la loi modifiée du 19 juillet 2004 concernant l’aménagement communal et le développement urbain. </w:t>
      </w:r>
      <w:r w:rsidR="00C8356A">
        <w:rPr>
          <w:rFonts w:ascii="Arial" w:hAnsi="Arial" w:cs="Arial"/>
          <w:sz w:val="22"/>
          <w:szCs w:val="22"/>
          <w:lang w:val="fr-LU" w:eastAsia="fr-LU"/>
        </w:rPr>
        <w:t xml:space="preserve">Le but </w:t>
      </w:r>
      <w:r w:rsidR="00A05CF1">
        <w:rPr>
          <w:rFonts w:ascii="Arial" w:hAnsi="Arial" w:cs="Arial"/>
          <w:sz w:val="22"/>
          <w:szCs w:val="22"/>
          <w:lang w:val="fr-LU" w:eastAsia="fr-LU"/>
        </w:rPr>
        <w:t xml:space="preserve">poursuivi </w:t>
      </w:r>
      <w:r w:rsidR="00C8356A">
        <w:rPr>
          <w:rFonts w:ascii="Arial" w:hAnsi="Arial" w:cs="Arial"/>
          <w:sz w:val="22"/>
          <w:szCs w:val="22"/>
          <w:lang w:val="fr-LU" w:eastAsia="fr-LU"/>
        </w:rPr>
        <w:t xml:space="preserve">est </w:t>
      </w:r>
      <w:r w:rsidR="00C8356A">
        <w:rPr>
          <w:rFonts w:ascii="Arial" w:hAnsi="Arial" w:cs="Arial"/>
          <w:bCs/>
          <w:sz w:val="22"/>
          <w:szCs w:val="22"/>
        </w:rPr>
        <w:t xml:space="preserve">un assouplissement des procédures, une meilleure praticabilité de la loi et des textes réglementaires, ainsi qu’une simplification administrative.  </w:t>
      </w:r>
    </w:p>
    <w:p w:rsidR="00C8356A" w:rsidRPr="00560CE6" w:rsidRDefault="00C8356A" w:rsidP="00C8356A">
      <w:pPr>
        <w:autoSpaceDE w:val="0"/>
        <w:autoSpaceDN w:val="0"/>
        <w:adjustRightInd w:val="0"/>
        <w:jc w:val="both"/>
        <w:rPr>
          <w:rFonts w:ascii="Arial" w:hAnsi="Arial" w:cs="Arial"/>
          <w:bCs/>
          <w:sz w:val="22"/>
          <w:szCs w:val="22"/>
        </w:rPr>
      </w:pPr>
    </w:p>
    <w:p w:rsidR="00D91A08" w:rsidRDefault="00D91A08" w:rsidP="00D91A08">
      <w:pPr>
        <w:autoSpaceDE w:val="0"/>
        <w:autoSpaceDN w:val="0"/>
        <w:adjustRightInd w:val="0"/>
        <w:jc w:val="both"/>
        <w:rPr>
          <w:rFonts w:ascii="Arial" w:hAnsi="Arial" w:cs="Arial"/>
          <w:bCs/>
          <w:sz w:val="22"/>
          <w:szCs w:val="22"/>
          <w:lang w:val="fr-LU"/>
        </w:rPr>
      </w:pPr>
      <w:r>
        <w:rPr>
          <w:rFonts w:ascii="Arial" w:hAnsi="Arial" w:cs="Arial"/>
          <w:sz w:val="22"/>
          <w:szCs w:val="22"/>
          <w:lang w:val="fr-LU" w:eastAsia="fr-LU"/>
        </w:rPr>
        <w:t xml:space="preserve">La philosophie de la loi modifiée de 2004 est maintenue, </w:t>
      </w:r>
      <w:r w:rsidR="00183F3B">
        <w:rPr>
          <w:rFonts w:ascii="Arial" w:hAnsi="Arial" w:cs="Arial"/>
          <w:sz w:val="22"/>
          <w:szCs w:val="22"/>
          <w:lang w:val="fr-LU" w:eastAsia="fr-LU"/>
        </w:rPr>
        <w:t xml:space="preserve">à savoir </w:t>
      </w:r>
      <w:r>
        <w:rPr>
          <w:rFonts w:ascii="Arial" w:hAnsi="Arial" w:cs="Arial"/>
          <w:sz w:val="22"/>
          <w:szCs w:val="22"/>
        </w:rPr>
        <w:t xml:space="preserve">que </w:t>
      </w:r>
      <w:r w:rsidRPr="00324B45">
        <w:rPr>
          <w:rFonts w:ascii="Arial" w:hAnsi="Arial" w:cs="Arial"/>
          <w:sz w:val="22"/>
          <w:szCs w:val="22"/>
          <w:lang w:val="fr-LU"/>
        </w:rPr>
        <w:t xml:space="preserve">le PAG </w:t>
      </w:r>
      <w:r w:rsidR="00183F3B">
        <w:rPr>
          <w:rFonts w:ascii="Arial" w:hAnsi="Arial" w:cs="Arial"/>
          <w:sz w:val="22"/>
          <w:szCs w:val="22"/>
          <w:lang w:val="fr-LU"/>
        </w:rPr>
        <w:t xml:space="preserve">(plan d’aménagement général) </w:t>
      </w:r>
      <w:r w:rsidRPr="00324B45">
        <w:rPr>
          <w:rFonts w:ascii="Arial" w:hAnsi="Arial" w:cs="Arial"/>
          <w:sz w:val="22"/>
          <w:szCs w:val="22"/>
          <w:lang w:val="fr-LU"/>
        </w:rPr>
        <w:t>continue à être exécuté systématiquement par le PAP</w:t>
      </w:r>
      <w:r>
        <w:rPr>
          <w:rFonts w:ascii="Arial" w:hAnsi="Arial" w:cs="Arial"/>
          <w:sz w:val="22"/>
          <w:szCs w:val="22"/>
          <w:lang w:val="fr-LU"/>
        </w:rPr>
        <w:t xml:space="preserve"> (plan d’aménagement particulier) ; la</w:t>
      </w:r>
      <w:r w:rsidRPr="00324B45">
        <w:rPr>
          <w:rFonts w:ascii="Arial" w:hAnsi="Arial" w:cs="Arial"/>
          <w:sz w:val="22"/>
          <w:szCs w:val="22"/>
          <w:lang w:val="fr-LU"/>
        </w:rPr>
        <w:t xml:space="preserve"> hiérarchie des instruments de planification</w:t>
      </w:r>
      <w:r w:rsidRPr="00324B45">
        <w:rPr>
          <w:rFonts w:ascii="Arial" w:hAnsi="Arial" w:cs="Arial"/>
          <w:b/>
          <w:bCs/>
          <w:sz w:val="22"/>
          <w:szCs w:val="22"/>
          <w:lang w:val="fr-LU"/>
        </w:rPr>
        <w:t xml:space="preserve"> </w:t>
      </w:r>
      <w:r>
        <w:rPr>
          <w:rFonts w:ascii="Arial" w:hAnsi="Arial" w:cs="Arial"/>
          <w:bCs/>
          <w:sz w:val="22"/>
          <w:szCs w:val="22"/>
          <w:lang w:val="fr-LU"/>
        </w:rPr>
        <w:t>reste inchangée.</w:t>
      </w:r>
    </w:p>
    <w:p w:rsidR="00D91A08" w:rsidRDefault="00D91A08" w:rsidP="00D91A08">
      <w:pPr>
        <w:autoSpaceDE w:val="0"/>
        <w:autoSpaceDN w:val="0"/>
        <w:adjustRightInd w:val="0"/>
        <w:jc w:val="both"/>
        <w:rPr>
          <w:rFonts w:ascii="Arial" w:hAnsi="Arial" w:cs="Arial"/>
          <w:bCs/>
          <w:sz w:val="22"/>
          <w:szCs w:val="22"/>
          <w:lang w:val="fr-LU"/>
        </w:rPr>
      </w:pPr>
    </w:p>
    <w:p w:rsidR="007874F3" w:rsidRPr="009B72BA" w:rsidRDefault="007874F3" w:rsidP="007874F3">
      <w:pPr>
        <w:autoSpaceDE w:val="0"/>
        <w:autoSpaceDN w:val="0"/>
        <w:adjustRightInd w:val="0"/>
        <w:jc w:val="both"/>
        <w:rPr>
          <w:rFonts w:ascii="Arial" w:hAnsi="Arial" w:cs="Arial"/>
          <w:sz w:val="22"/>
          <w:szCs w:val="22"/>
          <w:lang w:val="fr-LU"/>
        </w:rPr>
      </w:pPr>
      <w:r w:rsidRPr="009B72BA">
        <w:rPr>
          <w:rFonts w:ascii="Arial" w:hAnsi="Arial" w:cs="Arial"/>
          <w:sz w:val="22"/>
          <w:szCs w:val="22"/>
          <w:lang w:val="fr-LU"/>
        </w:rPr>
        <w:t>Le fait que d’autres procédures, notamment dans le domaine de la protection de l’environnement, comme les législations sur la protection de la nature, l’évaluation des incidences sur l’environnement et les établissements classés, viennent se greffer sur ou s’imbriquer dans celles relatives à l’aménagement communal, rend les procédures extrêmement complexes, longues, onéreuses et incertaines.</w:t>
      </w:r>
    </w:p>
    <w:p w:rsidR="007874F3" w:rsidRDefault="007874F3" w:rsidP="002A2B37">
      <w:pPr>
        <w:jc w:val="both"/>
        <w:rPr>
          <w:lang w:val="fr-LU"/>
        </w:rPr>
      </w:pPr>
    </w:p>
    <w:p w:rsidR="006255F8" w:rsidRPr="009B72BA" w:rsidRDefault="006255F8" w:rsidP="006255F8">
      <w:pPr>
        <w:autoSpaceDE w:val="0"/>
        <w:autoSpaceDN w:val="0"/>
        <w:adjustRightInd w:val="0"/>
        <w:jc w:val="both"/>
        <w:rPr>
          <w:rFonts w:ascii="Arial" w:hAnsi="Arial" w:cs="Arial"/>
          <w:sz w:val="22"/>
          <w:szCs w:val="22"/>
          <w:lang w:val="fr-LU"/>
        </w:rPr>
      </w:pPr>
      <w:r w:rsidRPr="009B72BA">
        <w:rPr>
          <w:rFonts w:ascii="Arial" w:hAnsi="Arial" w:cs="Arial"/>
          <w:sz w:val="22"/>
          <w:szCs w:val="22"/>
          <w:lang w:val="fr-LU"/>
        </w:rPr>
        <w:t xml:space="preserve">Il s’agit donc d’aboutir à une simplification administrative considérable en ce qui concerne la procédure d’adoption d’un plan d’aménagement général et d’un plan d’aménagement particulier. </w:t>
      </w:r>
      <w:r>
        <w:rPr>
          <w:rFonts w:ascii="Arial" w:hAnsi="Arial" w:cs="Arial"/>
          <w:sz w:val="22"/>
          <w:szCs w:val="22"/>
          <w:lang w:val="fr-LU"/>
        </w:rPr>
        <w:t>L</w:t>
      </w:r>
      <w:r w:rsidRPr="009B72BA">
        <w:rPr>
          <w:rFonts w:ascii="Arial" w:hAnsi="Arial" w:cs="Arial"/>
          <w:sz w:val="22"/>
          <w:szCs w:val="22"/>
          <w:lang w:val="fr-LU"/>
        </w:rPr>
        <w:t xml:space="preserve">a durée des procédures d’adoption des deux plans précités </w:t>
      </w:r>
      <w:r w:rsidR="0029079F">
        <w:rPr>
          <w:rFonts w:ascii="Arial" w:hAnsi="Arial" w:cs="Arial"/>
          <w:sz w:val="22"/>
          <w:szCs w:val="22"/>
          <w:lang w:val="fr-LU"/>
        </w:rPr>
        <w:t>est</w:t>
      </w:r>
      <w:r w:rsidRPr="009B72BA">
        <w:rPr>
          <w:rFonts w:ascii="Arial" w:hAnsi="Arial" w:cs="Arial"/>
          <w:sz w:val="22"/>
          <w:szCs w:val="22"/>
          <w:lang w:val="fr-LU"/>
        </w:rPr>
        <w:t xml:space="preserve"> r</w:t>
      </w:r>
      <w:r>
        <w:rPr>
          <w:rFonts w:ascii="Arial" w:hAnsi="Arial" w:cs="Arial"/>
          <w:sz w:val="22"/>
          <w:szCs w:val="22"/>
          <w:lang w:val="fr-LU"/>
        </w:rPr>
        <w:t>é</w:t>
      </w:r>
      <w:r w:rsidRPr="009B72BA">
        <w:rPr>
          <w:rFonts w:ascii="Arial" w:hAnsi="Arial" w:cs="Arial"/>
          <w:sz w:val="22"/>
          <w:szCs w:val="22"/>
          <w:lang w:val="fr-LU"/>
        </w:rPr>
        <w:t>duite à moitié par l’introduction d’un parallélisme des consultations des différents organes compétents et du public.</w:t>
      </w:r>
    </w:p>
    <w:p w:rsidR="006255F8" w:rsidRDefault="006255F8" w:rsidP="002A2B37">
      <w:pPr>
        <w:jc w:val="both"/>
        <w:rPr>
          <w:lang w:val="fr-LU"/>
        </w:rPr>
      </w:pPr>
    </w:p>
    <w:p w:rsidR="004D2DDF" w:rsidRPr="009B72BA" w:rsidRDefault="004D2DDF" w:rsidP="004D2DDF">
      <w:pPr>
        <w:autoSpaceDE w:val="0"/>
        <w:autoSpaceDN w:val="0"/>
        <w:adjustRightInd w:val="0"/>
        <w:jc w:val="both"/>
        <w:rPr>
          <w:rFonts w:ascii="Arial" w:hAnsi="Arial" w:cs="Arial"/>
          <w:sz w:val="22"/>
          <w:szCs w:val="22"/>
          <w:lang w:val="fr-LU"/>
        </w:rPr>
      </w:pPr>
      <w:r>
        <w:rPr>
          <w:rFonts w:ascii="Arial" w:hAnsi="Arial" w:cs="Arial"/>
          <w:sz w:val="22"/>
          <w:szCs w:val="22"/>
          <w:lang w:val="fr-LU"/>
        </w:rPr>
        <w:t>E</w:t>
      </w:r>
      <w:r w:rsidRPr="009B72BA">
        <w:rPr>
          <w:rFonts w:ascii="Arial" w:hAnsi="Arial" w:cs="Arial"/>
          <w:sz w:val="22"/>
          <w:szCs w:val="22"/>
          <w:lang w:val="fr-LU"/>
        </w:rPr>
        <w:t>n matière de plans d’aménagement particulier, la possibilité d’introduire des réclamations contre le vote du conseil communal auprès du Ministre est abolie, de sorte que lesdits plans peuvent directement recevoir l’approbation ministérielle. Cette mesure est justifiée par le fait que le plan d’aménagement général, ensemble avec le schéma directeur, lequel fait dorénavant partie intégrante de l’étude préparatoire, retiennent d’ores et déjà le principe de la constructibilité d’une zone définie ainsi que les grandes lignes de son orientation urbanistique</w:t>
      </w:r>
      <w:r>
        <w:rPr>
          <w:rFonts w:ascii="Arial" w:hAnsi="Arial" w:cs="Arial"/>
          <w:sz w:val="22"/>
          <w:szCs w:val="22"/>
          <w:lang w:val="fr-LU"/>
        </w:rPr>
        <w:t>.</w:t>
      </w:r>
      <w:r w:rsidRPr="009B72BA">
        <w:rPr>
          <w:rFonts w:ascii="Arial" w:hAnsi="Arial" w:cs="Arial"/>
          <w:sz w:val="22"/>
          <w:szCs w:val="22"/>
          <w:lang w:val="fr-LU"/>
        </w:rPr>
        <w:t xml:space="preserve"> Le projet d’exécution et la convention prévus pour la mise en œuvre d’un plan d’aménagement particulier sont regroupés dans un document unique, soumis au vote du conseil communal et à l’approbation du ministre ayant l’aménagement communal dans ses attributions.</w:t>
      </w:r>
    </w:p>
    <w:p w:rsidR="00791AA4" w:rsidRPr="00E7620B" w:rsidRDefault="00791AA4" w:rsidP="003428B6">
      <w:pPr>
        <w:jc w:val="both"/>
        <w:rPr>
          <w:lang w:val="fr-LU"/>
        </w:rPr>
      </w:pPr>
    </w:p>
    <w:p w:rsidR="00A05CF1" w:rsidRDefault="00617CBC" w:rsidP="009004D2">
      <w:pPr>
        <w:autoSpaceDE w:val="0"/>
        <w:autoSpaceDN w:val="0"/>
        <w:adjustRightInd w:val="0"/>
        <w:jc w:val="both"/>
        <w:rPr>
          <w:rFonts w:ascii="Arial" w:hAnsi="Arial" w:cs="Arial"/>
          <w:sz w:val="22"/>
          <w:szCs w:val="22"/>
          <w:lang w:val="fr-LU"/>
        </w:rPr>
      </w:pPr>
      <w:r>
        <w:rPr>
          <w:rFonts w:ascii="Arial" w:hAnsi="Arial" w:cs="Arial"/>
          <w:sz w:val="22"/>
          <w:szCs w:val="22"/>
          <w:lang w:val="fr-LU"/>
        </w:rPr>
        <w:t xml:space="preserve">Des ajustements sont faits aussi, notamment, au niveau - de la commission d’aménagement qui comporte désormais en son sein une cellule d’évaluation ; </w:t>
      </w:r>
      <w:r w:rsidR="001659DE">
        <w:rPr>
          <w:rFonts w:ascii="Arial" w:hAnsi="Arial" w:cs="Arial"/>
          <w:sz w:val="22"/>
          <w:szCs w:val="22"/>
          <w:lang w:val="fr-LU"/>
        </w:rPr>
        <w:t xml:space="preserve">- </w:t>
      </w:r>
      <w:r>
        <w:rPr>
          <w:rFonts w:ascii="Arial" w:hAnsi="Arial" w:cs="Arial"/>
          <w:sz w:val="22"/>
          <w:szCs w:val="22"/>
          <w:lang w:val="fr-LU"/>
        </w:rPr>
        <w:t>de la personne qualifiée pour élaborer un plan d’aménagement général</w:t>
      </w:r>
      <w:r w:rsidR="001659DE">
        <w:rPr>
          <w:rFonts w:ascii="Arial" w:hAnsi="Arial" w:cs="Arial"/>
          <w:sz w:val="22"/>
          <w:szCs w:val="22"/>
          <w:lang w:val="fr-LU"/>
        </w:rPr>
        <w:t xml:space="preserve"> ; - de la position du plan directeur dans la </w:t>
      </w:r>
      <w:r w:rsidR="001659DE">
        <w:rPr>
          <w:rFonts w:ascii="Arial" w:hAnsi="Arial" w:cs="Arial"/>
          <w:sz w:val="22"/>
          <w:szCs w:val="22"/>
          <w:lang w:val="fr-LU"/>
        </w:rPr>
        <w:lastRenderedPageBreak/>
        <w:t>hiérarchie des instruments de planification (schémas directeurs) ; - de la récupération des frais de planification par les communes ; - de la cession obligatoire de 25%</w:t>
      </w:r>
      <w:r w:rsidR="0029164C">
        <w:rPr>
          <w:rFonts w:ascii="Arial" w:hAnsi="Arial" w:cs="Arial"/>
          <w:sz w:val="22"/>
          <w:szCs w:val="22"/>
          <w:lang w:val="fr-LU"/>
        </w:rPr>
        <w:t xml:space="preserve">. </w:t>
      </w:r>
      <w:r w:rsidR="001659DE">
        <w:rPr>
          <w:rFonts w:ascii="Arial" w:hAnsi="Arial" w:cs="Arial"/>
          <w:sz w:val="22"/>
          <w:szCs w:val="22"/>
          <w:lang w:val="fr-LU"/>
        </w:rPr>
        <w:t xml:space="preserve"> </w:t>
      </w:r>
      <w:r>
        <w:rPr>
          <w:rFonts w:ascii="Arial" w:hAnsi="Arial" w:cs="Arial"/>
          <w:sz w:val="22"/>
          <w:szCs w:val="22"/>
          <w:lang w:val="fr-LU"/>
        </w:rPr>
        <w:t xml:space="preserve">  </w:t>
      </w:r>
      <w:r w:rsidR="00DD5F3D">
        <w:rPr>
          <w:rFonts w:ascii="Arial" w:hAnsi="Arial" w:cs="Arial"/>
          <w:sz w:val="22"/>
          <w:szCs w:val="22"/>
          <w:lang w:val="fr-LU"/>
        </w:rPr>
        <w:t xml:space="preserve"> </w:t>
      </w:r>
    </w:p>
    <w:p w:rsidR="00A05CF1" w:rsidRDefault="00A05CF1" w:rsidP="009004D2">
      <w:pPr>
        <w:autoSpaceDE w:val="0"/>
        <w:autoSpaceDN w:val="0"/>
        <w:adjustRightInd w:val="0"/>
        <w:jc w:val="both"/>
        <w:rPr>
          <w:rFonts w:ascii="Arial" w:hAnsi="Arial" w:cs="Arial"/>
          <w:sz w:val="22"/>
          <w:szCs w:val="22"/>
          <w:lang w:val="fr-LU"/>
        </w:rPr>
      </w:pPr>
    </w:p>
    <w:p w:rsidR="009004D2" w:rsidRPr="009B72BA" w:rsidRDefault="009004D2" w:rsidP="009004D2">
      <w:pPr>
        <w:autoSpaceDE w:val="0"/>
        <w:autoSpaceDN w:val="0"/>
        <w:adjustRightInd w:val="0"/>
        <w:jc w:val="both"/>
        <w:rPr>
          <w:rFonts w:ascii="Arial" w:hAnsi="Arial" w:cs="Arial"/>
          <w:sz w:val="22"/>
          <w:szCs w:val="22"/>
          <w:lang w:val="fr-LU"/>
        </w:rPr>
      </w:pPr>
      <w:r w:rsidRPr="009B72BA">
        <w:rPr>
          <w:rFonts w:ascii="Arial" w:hAnsi="Arial" w:cs="Arial"/>
          <w:sz w:val="22"/>
          <w:szCs w:val="22"/>
          <w:lang w:val="fr-LU"/>
        </w:rPr>
        <w:t>Par ailleurs, en vue d’une meilleure coordination des procédures d’approbation de plans d’aménagement général, le projet de loi intègre des dispositions modificatives de l’article 5 de la loi modifiée du 19 janvier 2004 concernant la protection de la nature et des ressources naturelles.</w:t>
      </w:r>
    </w:p>
    <w:p w:rsidR="003F0254" w:rsidRPr="009004D2" w:rsidRDefault="003F0254" w:rsidP="003428B6">
      <w:pPr>
        <w:jc w:val="both"/>
        <w:rPr>
          <w:lang w:val="fr-LU"/>
        </w:rPr>
      </w:pPr>
    </w:p>
    <w:p w:rsidR="003F0254" w:rsidRDefault="003F0254" w:rsidP="003428B6">
      <w:pPr>
        <w:jc w:val="both"/>
      </w:pPr>
    </w:p>
    <w:sectPr w:rsidR="003F02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0DC" w:rsidRDefault="00FA40DC" w:rsidP="00BD4DD7">
      <w:r>
        <w:separator/>
      </w:r>
    </w:p>
  </w:endnote>
  <w:endnote w:type="continuationSeparator" w:id="0">
    <w:p w:rsidR="00FA40DC" w:rsidRDefault="00FA40DC" w:rsidP="00BD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0DC" w:rsidRDefault="00FA40DC" w:rsidP="00BD4DD7">
      <w:r>
        <w:separator/>
      </w:r>
    </w:p>
  </w:footnote>
  <w:footnote w:type="continuationSeparator" w:id="0">
    <w:p w:rsidR="00FA40DC" w:rsidRDefault="00FA40DC" w:rsidP="00BD4D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F4B2B"/>
    <w:multiLevelType w:val="hybridMultilevel"/>
    <w:tmpl w:val="E0CC9AEE"/>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56DF6352"/>
    <w:multiLevelType w:val="hybridMultilevel"/>
    <w:tmpl w:val="2FF2CD04"/>
    <w:lvl w:ilvl="0" w:tplc="8BF01392">
      <w:start w:val="2"/>
      <w:numFmt w:val="bullet"/>
      <w:lvlText w:val="-"/>
      <w:lvlJc w:val="left"/>
      <w:pPr>
        <w:ind w:left="720" w:hanging="360"/>
      </w:pPr>
      <w:rPr>
        <w:rFonts w:ascii="Times New Roman" w:eastAsia="Times New Roman" w:hAnsi="Times New Roman" w:cs="Times New Roman" w:hint="default"/>
        <w:color w:val="000000"/>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6B4E69F2"/>
    <w:multiLevelType w:val="hybridMultilevel"/>
    <w:tmpl w:val="983A578E"/>
    <w:lvl w:ilvl="0" w:tplc="C89ED070">
      <w:numFmt w:val="bullet"/>
      <w:lvlText w:val="·"/>
      <w:lvlJc w:val="left"/>
      <w:pPr>
        <w:ind w:left="720" w:hanging="360"/>
      </w:pPr>
      <w:rPr>
        <w:rFonts w:ascii="Calibri" w:eastAsia="Calibri" w:hAnsi="Calibri" w:cs="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6EB02019"/>
    <w:multiLevelType w:val="hybridMultilevel"/>
    <w:tmpl w:val="F53ECF62"/>
    <w:lvl w:ilvl="0" w:tplc="140C0011">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75576193"/>
    <w:multiLevelType w:val="hybridMultilevel"/>
    <w:tmpl w:val="89C60796"/>
    <w:lvl w:ilvl="0" w:tplc="4AB43AAA">
      <w:start w:val="2"/>
      <w:numFmt w:val="decimal"/>
      <w:lvlText w:val="%1)"/>
      <w:lvlJc w:val="left"/>
      <w:pPr>
        <w:ind w:left="720" w:hanging="360"/>
      </w:pPr>
      <w:rPr>
        <w:rFonts w:ascii="Arial" w:hAnsi="Arial" w:cs="Arial" w:hint="default"/>
        <w:b/>
        <w:sz w:val="22"/>
        <w:szCs w:val="22"/>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D9B"/>
    <w:rsid w:val="00027C60"/>
    <w:rsid w:val="000F4793"/>
    <w:rsid w:val="001659DE"/>
    <w:rsid w:val="00177BA7"/>
    <w:rsid w:val="00183F3B"/>
    <w:rsid w:val="001F5151"/>
    <w:rsid w:val="0029079F"/>
    <w:rsid w:val="0029164C"/>
    <w:rsid w:val="002A2B37"/>
    <w:rsid w:val="002C3BB4"/>
    <w:rsid w:val="002F3BFE"/>
    <w:rsid w:val="002F71A7"/>
    <w:rsid w:val="003357C8"/>
    <w:rsid w:val="003428B6"/>
    <w:rsid w:val="003B61B9"/>
    <w:rsid w:val="003F0254"/>
    <w:rsid w:val="004D2DDF"/>
    <w:rsid w:val="0053130F"/>
    <w:rsid w:val="0055380B"/>
    <w:rsid w:val="00554D00"/>
    <w:rsid w:val="005D0D19"/>
    <w:rsid w:val="005E7D9B"/>
    <w:rsid w:val="00611A2A"/>
    <w:rsid w:val="00611A84"/>
    <w:rsid w:val="00617CBC"/>
    <w:rsid w:val="006255F8"/>
    <w:rsid w:val="007874F3"/>
    <w:rsid w:val="00791AA4"/>
    <w:rsid w:val="007A73C7"/>
    <w:rsid w:val="007B7F4E"/>
    <w:rsid w:val="00836EE2"/>
    <w:rsid w:val="008933EF"/>
    <w:rsid w:val="008A2878"/>
    <w:rsid w:val="009004D2"/>
    <w:rsid w:val="00900B74"/>
    <w:rsid w:val="00934486"/>
    <w:rsid w:val="00972A0F"/>
    <w:rsid w:val="009E37B8"/>
    <w:rsid w:val="00A05CF1"/>
    <w:rsid w:val="00A74812"/>
    <w:rsid w:val="00A92465"/>
    <w:rsid w:val="00AE1303"/>
    <w:rsid w:val="00AF23C3"/>
    <w:rsid w:val="00AF4723"/>
    <w:rsid w:val="00BD4DD7"/>
    <w:rsid w:val="00C30B0B"/>
    <w:rsid w:val="00C8356A"/>
    <w:rsid w:val="00CB3A64"/>
    <w:rsid w:val="00CC352F"/>
    <w:rsid w:val="00D91A08"/>
    <w:rsid w:val="00DA4E10"/>
    <w:rsid w:val="00DD5F3D"/>
    <w:rsid w:val="00E02408"/>
    <w:rsid w:val="00E176DC"/>
    <w:rsid w:val="00E651B8"/>
    <w:rsid w:val="00E7620B"/>
    <w:rsid w:val="00F30823"/>
    <w:rsid w:val="00FA40DC"/>
    <w:rsid w:val="00FD50E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E22169-47E4-4821-92DA-8ECFD5DB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uiPriority w:val="99"/>
    <w:unhideWhenUsed/>
    <w:rsid w:val="005D0D19"/>
    <w:pPr>
      <w:spacing w:before="100" w:beforeAutospacing="1" w:after="100" w:afterAutospacing="1"/>
    </w:pPr>
    <w:rPr>
      <w:lang w:val="fr-LU" w:eastAsia="fr-LU"/>
    </w:rPr>
  </w:style>
  <w:style w:type="paragraph" w:styleId="Notedebasdepage">
    <w:name w:val="footnote text"/>
    <w:basedOn w:val="Normal"/>
    <w:link w:val="NotedebasdepageCar"/>
    <w:uiPriority w:val="99"/>
    <w:semiHidden/>
    <w:unhideWhenUsed/>
    <w:rsid w:val="00BD4DD7"/>
    <w:rPr>
      <w:rFonts w:ascii="Calibri" w:eastAsia="Calibri" w:hAnsi="Calibri"/>
      <w:sz w:val="20"/>
      <w:szCs w:val="20"/>
      <w:lang w:eastAsia="en-US" w:bidi="en-US"/>
    </w:rPr>
  </w:style>
  <w:style w:type="character" w:customStyle="1" w:styleId="NotedebasdepageCar">
    <w:name w:val="Note de bas de page Car"/>
    <w:basedOn w:val="Policepardfaut"/>
    <w:link w:val="Notedebasdepage"/>
    <w:uiPriority w:val="99"/>
    <w:semiHidden/>
    <w:rsid w:val="00BD4DD7"/>
    <w:rPr>
      <w:rFonts w:ascii="Calibri" w:eastAsia="Calibri" w:hAnsi="Calibri"/>
      <w:lang w:val="fr-FR" w:eastAsia="en-US" w:bidi="en-US"/>
    </w:rPr>
  </w:style>
  <w:style w:type="character" w:styleId="Appelnotedebasdep">
    <w:name w:val="footnote reference"/>
    <w:basedOn w:val="Policepardfaut"/>
    <w:uiPriority w:val="99"/>
    <w:semiHidden/>
    <w:unhideWhenUsed/>
    <w:rsid w:val="00BD4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DP6023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6023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/sftpecos/Dossiers_parlementaires/6023/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A4A34EE6-A833-4A88-B008-485564F0C4BC}"/>
</file>

<file path=customXml/itemProps2.xml><?xml version="1.0" encoding="utf-8"?>
<ds:datastoreItem xmlns:ds="http://schemas.openxmlformats.org/officeDocument/2006/customXml" ds:itemID="{15583B34-0A41-4DC6-A622-151A06A2A366}"/>
</file>

<file path=customXml/itemProps3.xml><?xml version="1.0" encoding="utf-8"?>
<ds:datastoreItem xmlns:ds="http://schemas.openxmlformats.org/officeDocument/2006/customXml" ds:itemID="{DE981C7B-7101-4761-B249-E6750176F31A}"/>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2903</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5859</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Pascal Reiser</dc:creator>
  <cp:keywords/>
  <cp:lastModifiedBy>SYSTEM</cp:lastModifiedBy>
  <cp:revision>2</cp:revision>
  <dcterms:created xsi:type="dcterms:W3CDTF">2024-02-21T07:46:00Z</dcterms:created>
  <dcterms:modified xsi:type="dcterms:W3CDTF">2024-02-21T07:46:00Z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