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94" w:rsidRPr="00535994" w:rsidRDefault="002474E5" w:rsidP="00535994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535994">
        <w:rPr>
          <w:rFonts w:ascii="Arial" w:hAnsi="Arial" w:cs="Arial"/>
          <w:b/>
          <w:i/>
        </w:rPr>
        <w:t xml:space="preserve">Projet de loi n°6022 </w:t>
      </w:r>
      <w:r w:rsidR="00535994" w:rsidRPr="00535994">
        <w:rPr>
          <w:rFonts w:ascii="Arial" w:hAnsi="Arial" w:cs="Arial"/>
          <w:b/>
          <w:i/>
        </w:rPr>
        <w:t>relative aux services dans le marché intérieur</w:t>
      </w:r>
    </w:p>
    <w:p w:rsidR="002474E5" w:rsidRDefault="002474E5" w:rsidP="002474E5">
      <w:pPr>
        <w:rPr>
          <w:rFonts w:ascii="Arial" w:hAnsi="Arial" w:cs="Arial"/>
        </w:rPr>
      </w:pPr>
    </w:p>
    <w:p w:rsidR="00A37DED" w:rsidRPr="00535994" w:rsidRDefault="00A37DED" w:rsidP="00A37DED">
      <w:pPr>
        <w:rPr>
          <w:rFonts w:ascii="Arial" w:hAnsi="Arial" w:cs="Arial"/>
          <w:u w:val="single"/>
        </w:rPr>
      </w:pPr>
      <w:r w:rsidRPr="00535994">
        <w:rPr>
          <w:rFonts w:ascii="Arial" w:hAnsi="Arial" w:cs="Arial"/>
          <w:u w:val="single"/>
        </w:rPr>
        <w:t>Résumé</w:t>
      </w:r>
    </w:p>
    <w:p w:rsidR="00A37DED" w:rsidRPr="004E196C" w:rsidRDefault="00A37DED" w:rsidP="00A37DED">
      <w:pPr>
        <w:rPr>
          <w:rFonts w:ascii="Arial" w:hAnsi="Arial" w:cs="Arial"/>
        </w:rPr>
      </w:pPr>
    </w:p>
    <w:p w:rsidR="002474E5" w:rsidRDefault="00A37DED" w:rsidP="00A37DED">
      <w:pPr>
        <w:rPr>
          <w:rFonts w:ascii="Arial" w:hAnsi="Arial" w:cs="Arial"/>
        </w:rPr>
      </w:pPr>
      <w:r w:rsidRPr="003F7FA0">
        <w:rPr>
          <w:rFonts w:ascii="Arial" w:hAnsi="Arial" w:cs="Arial"/>
        </w:rPr>
        <w:t>Le présent projet de loi</w:t>
      </w:r>
      <w:r w:rsidR="000B6E18">
        <w:rPr>
          <w:rFonts w:ascii="Arial" w:hAnsi="Arial" w:cs="Arial"/>
        </w:rPr>
        <w:t xml:space="preserve"> </w:t>
      </w:r>
      <w:r w:rsidRPr="003F7FA0">
        <w:rPr>
          <w:rFonts w:ascii="Arial" w:hAnsi="Arial" w:cs="Arial"/>
        </w:rPr>
        <w:t>entend transposer la directive 2006/123/CE du Parlement européen et du Conseil du 12 décembre 2006 relative aux services dans le marché intérieur (ci</w:t>
      </w:r>
      <w:r w:rsidR="002474E5">
        <w:rPr>
          <w:rFonts w:ascii="Arial" w:hAnsi="Arial" w:cs="Arial"/>
        </w:rPr>
        <w:t>-après « directive services »).</w:t>
      </w:r>
    </w:p>
    <w:p w:rsidR="002474E5" w:rsidRDefault="002474E5" w:rsidP="00A37DED">
      <w:pPr>
        <w:rPr>
          <w:rFonts w:ascii="Arial" w:hAnsi="Arial" w:cs="Arial"/>
        </w:rPr>
      </w:pPr>
    </w:p>
    <w:p w:rsidR="00A37DED" w:rsidRDefault="002474E5" w:rsidP="00A37DED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37DED" w:rsidRPr="003F7FA0">
        <w:rPr>
          <w:rFonts w:ascii="Arial" w:hAnsi="Arial" w:cs="Arial"/>
        </w:rPr>
        <w:t>a version initiale de la directive services</w:t>
      </w:r>
      <w:r w:rsidR="00EE6193">
        <w:rPr>
          <w:rFonts w:ascii="Arial" w:hAnsi="Arial" w:cs="Arial"/>
        </w:rPr>
        <w:t>,</w:t>
      </w:r>
      <w:r w:rsidR="00A37DED" w:rsidRPr="003F7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datant de</w:t>
      </w:r>
      <w:r w:rsidR="00A37DED" w:rsidRPr="003F7FA0">
        <w:rPr>
          <w:rFonts w:ascii="Arial" w:hAnsi="Arial" w:cs="Arial"/>
        </w:rPr>
        <w:t xml:space="preserve"> janvier 2004</w:t>
      </w:r>
      <w:r w:rsidR="00EE6193">
        <w:rPr>
          <w:rFonts w:ascii="Arial" w:hAnsi="Arial" w:cs="Arial"/>
        </w:rPr>
        <w:t>,</w:t>
      </w:r>
      <w:r w:rsidR="00A37DED" w:rsidRPr="003F7FA0">
        <w:rPr>
          <w:rFonts w:ascii="Arial" w:hAnsi="Arial" w:cs="Arial"/>
        </w:rPr>
        <w:t xml:space="preserve"> avait rencontré une forte opposition de la part de différentes organisations professionnelles et syndica</w:t>
      </w:r>
      <w:r w:rsidR="00A37DED">
        <w:rPr>
          <w:rFonts w:ascii="Arial" w:hAnsi="Arial" w:cs="Arial"/>
        </w:rPr>
        <w:t>le</w:t>
      </w:r>
      <w:r w:rsidR="00A37DED" w:rsidRPr="003F7FA0">
        <w:rPr>
          <w:rFonts w:ascii="Arial" w:hAnsi="Arial" w:cs="Arial"/>
        </w:rPr>
        <w:t>s. Surtout le « principe du pays d’origine » a été fortement contesté.</w:t>
      </w:r>
      <w:r w:rsidR="00A37DED">
        <w:rPr>
          <w:rFonts w:ascii="Arial" w:hAnsi="Arial" w:cs="Arial"/>
        </w:rPr>
        <w:t xml:space="preserve"> Les craintes se focalisaient sur un possible phénomène de « dumping social » dans les Etats ayant instauré un niveau élevé de protection sociale.</w:t>
      </w:r>
      <w:r w:rsidR="00A37DED" w:rsidRPr="003E0028">
        <w:rPr>
          <w:rFonts w:ascii="Arial" w:hAnsi="Arial" w:cs="Arial"/>
        </w:rPr>
        <w:t xml:space="preserve"> </w:t>
      </w:r>
      <w:r w:rsidR="00A37DED" w:rsidRPr="003F7FA0">
        <w:rPr>
          <w:rFonts w:ascii="Arial" w:hAnsi="Arial" w:cs="Arial"/>
        </w:rPr>
        <w:t>Après deux an</w:t>
      </w:r>
      <w:r w:rsidR="00A37DED">
        <w:rPr>
          <w:rFonts w:ascii="Arial" w:hAnsi="Arial" w:cs="Arial"/>
        </w:rPr>
        <w:t>née</w:t>
      </w:r>
      <w:r w:rsidR="00A37DED" w:rsidRPr="003F7FA0">
        <w:rPr>
          <w:rFonts w:ascii="Arial" w:hAnsi="Arial" w:cs="Arial"/>
        </w:rPr>
        <w:t xml:space="preserve">s de négociations, le texte final adopté en 2006 par le Parlement européen et le Conseil a beaucoup évolué. </w:t>
      </w:r>
      <w:r>
        <w:rPr>
          <w:rFonts w:ascii="Arial" w:hAnsi="Arial" w:cs="Arial"/>
        </w:rPr>
        <w:t>F</w:t>
      </w:r>
      <w:r w:rsidRPr="003F7FA0">
        <w:rPr>
          <w:rFonts w:ascii="Arial" w:hAnsi="Arial" w:cs="Arial"/>
        </w:rPr>
        <w:t>inalement</w:t>
      </w:r>
      <w:r>
        <w:rPr>
          <w:rFonts w:ascii="Arial" w:hAnsi="Arial" w:cs="Arial"/>
        </w:rPr>
        <w:t>,</w:t>
      </w:r>
      <w:r w:rsidRPr="003F7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A37DED" w:rsidRPr="003F7FA0">
        <w:rPr>
          <w:rFonts w:ascii="Arial" w:hAnsi="Arial" w:cs="Arial"/>
        </w:rPr>
        <w:t>e « prin</w:t>
      </w:r>
      <w:r>
        <w:rPr>
          <w:rFonts w:ascii="Arial" w:hAnsi="Arial" w:cs="Arial"/>
        </w:rPr>
        <w:t xml:space="preserve">cipe du pays d’origine » a été </w:t>
      </w:r>
      <w:r w:rsidR="00A37DED" w:rsidRPr="003F7FA0">
        <w:rPr>
          <w:rFonts w:ascii="Arial" w:hAnsi="Arial" w:cs="Arial"/>
        </w:rPr>
        <w:t>supprimé et remplacé par le principe de libre prestation de services, les droits sociaux ont été renforcés et de nombreux services ont été exclus du champ d’application de la directive</w:t>
      </w:r>
      <w:r w:rsidR="00A37DED">
        <w:rPr>
          <w:rFonts w:ascii="Arial" w:hAnsi="Arial" w:cs="Arial"/>
        </w:rPr>
        <w:t>,</w:t>
      </w:r>
      <w:r w:rsidR="00A37DED" w:rsidRPr="003F7FA0">
        <w:rPr>
          <w:rFonts w:ascii="Arial" w:hAnsi="Arial" w:cs="Arial"/>
        </w:rPr>
        <w:t xml:space="preserve"> notamment les services non économique</w:t>
      </w:r>
      <w:r w:rsidR="00A37DED">
        <w:rPr>
          <w:rFonts w:ascii="Arial" w:hAnsi="Arial" w:cs="Arial"/>
        </w:rPr>
        <w:t>s</w:t>
      </w:r>
      <w:r w:rsidR="00A37DED" w:rsidRPr="003F7FA0">
        <w:rPr>
          <w:rFonts w:ascii="Arial" w:hAnsi="Arial" w:cs="Arial"/>
        </w:rPr>
        <w:t xml:space="preserve"> d’intérêt général, les services financiers ou encore les services de soins de santé.</w:t>
      </w:r>
      <w:r w:rsidR="00A37DED">
        <w:rPr>
          <w:rFonts w:ascii="Arial" w:hAnsi="Arial" w:cs="Arial"/>
        </w:rPr>
        <w:t xml:space="preserve"> </w:t>
      </w:r>
    </w:p>
    <w:p w:rsidR="00A37DED" w:rsidRPr="003F7FA0" w:rsidRDefault="00A37DED" w:rsidP="00A37DED">
      <w:pPr>
        <w:rPr>
          <w:rFonts w:ascii="Arial" w:hAnsi="Arial" w:cs="Arial"/>
        </w:rPr>
      </w:pPr>
    </w:p>
    <w:p w:rsidR="00A37DED" w:rsidRDefault="00A37DED" w:rsidP="002474E5">
      <w:pPr>
        <w:rPr>
          <w:rFonts w:ascii="Arial" w:hAnsi="Arial" w:cs="Arial"/>
        </w:rPr>
      </w:pPr>
      <w:r w:rsidRPr="003F7FA0">
        <w:rPr>
          <w:rFonts w:ascii="Arial" w:hAnsi="Arial" w:cs="Arial"/>
        </w:rPr>
        <w:t xml:space="preserve">En vue de réaliser un marché intérieur des services, la directive services poursuit </w:t>
      </w:r>
      <w:r w:rsidR="002474E5">
        <w:rPr>
          <w:rFonts w:ascii="Arial" w:hAnsi="Arial" w:cs="Arial"/>
        </w:rPr>
        <w:t xml:space="preserve">les quatre objectifs suivants : 1. </w:t>
      </w:r>
      <w:r w:rsidRPr="003F7FA0">
        <w:rPr>
          <w:rFonts w:ascii="Arial" w:hAnsi="Arial" w:cs="Arial"/>
        </w:rPr>
        <w:t>Faciliter la liberté d’établissement et la liberté de prestation de service</w:t>
      </w:r>
      <w:r w:rsidR="002474E5">
        <w:rPr>
          <w:rFonts w:ascii="Arial" w:hAnsi="Arial" w:cs="Arial"/>
        </w:rPr>
        <w:t xml:space="preserve">s au sein de l’Union européenne ; 2. </w:t>
      </w:r>
      <w:r w:rsidRPr="003F7FA0">
        <w:rPr>
          <w:rFonts w:ascii="Arial" w:hAnsi="Arial" w:cs="Arial"/>
        </w:rPr>
        <w:t xml:space="preserve">Renforcer les droits des destinataires des services en tant </w:t>
      </w:r>
      <w:r w:rsidR="002474E5">
        <w:rPr>
          <w:rFonts w:ascii="Arial" w:hAnsi="Arial" w:cs="Arial"/>
        </w:rPr>
        <w:t xml:space="preserve">qu’utilisateurs de ces services ; 3. </w:t>
      </w:r>
      <w:r w:rsidRPr="003F7FA0">
        <w:rPr>
          <w:rFonts w:ascii="Arial" w:hAnsi="Arial" w:cs="Arial"/>
        </w:rPr>
        <w:t>Promouvoir la qualité des services</w:t>
      </w:r>
      <w:r w:rsidR="002474E5">
        <w:rPr>
          <w:rFonts w:ascii="Arial" w:hAnsi="Arial" w:cs="Arial"/>
        </w:rPr>
        <w:t xml:space="preserve"> ; 4. </w:t>
      </w:r>
      <w:r w:rsidRPr="003F7FA0">
        <w:rPr>
          <w:rFonts w:ascii="Arial" w:hAnsi="Arial" w:cs="Arial"/>
        </w:rPr>
        <w:t>Etablir une coopération administrative effective entre les Etats membres</w:t>
      </w:r>
      <w:r w:rsidR="002474E5">
        <w:rPr>
          <w:rFonts w:ascii="Arial" w:hAnsi="Arial" w:cs="Arial"/>
        </w:rPr>
        <w:t>.</w:t>
      </w:r>
    </w:p>
    <w:p w:rsidR="002474E5" w:rsidRDefault="002474E5" w:rsidP="0001189D">
      <w:pPr>
        <w:rPr>
          <w:rFonts w:ascii="Arial" w:hAnsi="Arial" w:cs="Arial"/>
        </w:rPr>
      </w:pPr>
    </w:p>
    <w:p w:rsidR="00535994" w:rsidRDefault="00EE6193" w:rsidP="005359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1189D">
        <w:rPr>
          <w:rFonts w:ascii="Arial" w:hAnsi="Arial" w:cs="Arial"/>
        </w:rPr>
        <w:t>a disposition la p</w:t>
      </w:r>
      <w:r>
        <w:rPr>
          <w:rFonts w:ascii="Arial" w:hAnsi="Arial" w:cs="Arial"/>
        </w:rPr>
        <w:t>lus discuté</w:t>
      </w:r>
      <w:r w:rsidR="000118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du projet de loi 6022 a été </w:t>
      </w:r>
      <w:r w:rsidR="0001189D">
        <w:rPr>
          <w:rFonts w:ascii="Arial" w:hAnsi="Arial" w:cs="Arial"/>
        </w:rPr>
        <w:t xml:space="preserve">celle </w:t>
      </w:r>
      <w:r w:rsidRPr="00EE6193">
        <w:rPr>
          <w:rFonts w:ascii="Arial" w:hAnsi="Arial" w:cs="Arial"/>
        </w:rPr>
        <w:t>introdu</w:t>
      </w:r>
      <w:r w:rsidR="0001189D">
        <w:rPr>
          <w:rFonts w:ascii="Arial" w:hAnsi="Arial" w:cs="Arial"/>
        </w:rPr>
        <w:t>isant le</w:t>
      </w:r>
      <w:r w:rsidRPr="00EE6193">
        <w:rPr>
          <w:rFonts w:ascii="Arial" w:hAnsi="Arial" w:cs="Arial"/>
        </w:rPr>
        <w:t xml:space="preserve"> principe de l’autorisation tacite</w:t>
      </w:r>
      <w:r w:rsidR="0001189D">
        <w:rPr>
          <w:rFonts w:ascii="Arial" w:hAnsi="Arial" w:cs="Arial"/>
        </w:rPr>
        <w:t xml:space="preserve"> </w:t>
      </w:r>
      <w:r w:rsidR="0001189D" w:rsidRPr="00535994">
        <w:rPr>
          <w:rFonts w:ascii="Arial" w:hAnsi="Arial" w:cs="Arial"/>
        </w:rPr>
        <w:t>(a</w:t>
      </w:r>
      <w:r w:rsidR="0001189D" w:rsidRPr="00535994">
        <w:rPr>
          <w:rFonts w:ascii="Arial" w:hAnsi="Arial" w:cs="Arial"/>
          <w:iCs/>
          <w:lang w:eastAsia="fr-FR"/>
        </w:rPr>
        <w:t>rticle 11).</w:t>
      </w:r>
      <w:r w:rsidR="00535994">
        <w:rPr>
          <w:rFonts w:ascii="Arial" w:hAnsi="Arial" w:cs="Arial"/>
          <w:iCs/>
          <w:lang w:eastAsia="fr-FR"/>
        </w:rPr>
        <w:t xml:space="preserve"> L’article afférent a été amendé </w:t>
      </w:r>
      <w:r w:rsidRPr="003F7FA0">
        <w:rPr>
          <w:rFonts w:ascii="Arial" w:hAnsi="Arial" w:cs="Arial"/>
          <w:lang w:val="fr-CH"/>
        </w:rPr>
        <w:t xml:space="preserve">à plusieurs reprises. </w:t>
      </w:r>
      <w:r w:rsidR="000B6E18">
        <w:rPr>
          <w:rFonts w:ascii="Arial" w:hAnsi="Arial" w:cs="Arial"/>
          <w:lang w:val="fr-CH"/>
        </w:rPr>
        <w:t>D’abord par un</w:t>
      </w:r>
      <w:r w:rsidR="00535994" w:rsidRPr="003F7FA0">
        <w:rPr>
          <w:rFonts w:ascii="Arial" w:hAnsi="Arial" w:cs="Arial"/>
        </w:rPr>
        <w:t xml:space="preserve"> amendement gouvernemental</w:t>
      </w:r>
      <w:r w:rsidR="000B6E18">
        <w:rPr>
          <w:rFonts w:ascii="Arial" w:hAnsi="Arial" w:cs="Arial"/>
        </w:rPr>
        <w:t xml:space="preserve"> qui</w:t>
      </w:r>
      <w:r w:rsidR="00535994" w:rsidRPr="003F7FA0">
        <w:rPr>
          <w:rFonts w:ascii="Arial" w:hAnsi="Arial" w:cs="Arial"/>
        </w:rPr>
        <w:t xml:space="preserve"> a</w:t>
      </w:r>
      <w:r w:rsidR="00535994">
        <w:rPr>
          <w:rFonts w:ascii="Arial" w:hAnsi="Arial" w:cs="Arial"/>
        </w:rPr>
        <w:t xml:space="preserve"> </w:t>
      </w:r>
      <w:r w:rsidR="00535994" w:rsidRPr="003F7FA0">
        <w:rPr>
          <w:rFonts w:ascii="Arial" w:hAnsi="Arial" w:cs="Arial"/>
        </w:rPr>
        <w:t>introduit une dérogation au principe de l’autorisation tacite pour les services dans le domaine de la fabrication ou du commerce d’armes ainsi q</w:t>
      </w:r>
      <w:r w:rsidR="00535994">
        <w:rPr>
          <w:rFonts w:ascii="Arial" w:hAnsi="Arial" w:cs="Arial"/>
        </w:rPr>
        <w:t>ue pour les autorisations relev</w:t>
      </w:r>
      <w:r w:rsidR="00535994" w:rsidRPr="003F7FA0">
        <w:rPr>
          <w:rFonts w:ascii="Arial" w:hAnsi="Arial" w:cs="Arial"/>
        </w:rPr>
        <w:t xml:space="preserve">ant la législation portant sur la protection de l’environnement humain et naturel. </w:t>
      </w:r>
      <w:r w:rsidR="00535994">
        <w:rPr>
          <w:rFonts w:ascii="Arial" w:hAnsi="Arial" w:cs="Arial"/>
        </w:rPr>
        <w:t>L</w:t>
      </w:r>
      <w:r w:rsidR="00535994" w:rsidRPr="003F7FA0">
        <w:rPr>
          <w:rFonts w:ascii="Arial" w:hAnsi="Arial" w:cs="Arial"/>
        </w:rPr>
        <w:t>a directive service</w:t>
      </w:r>
      <w:r w:rsidR="00535994">
        <w:rPr>
          <w:rFonts w:ascii="Arial" w:hAnsi="Arial" w:cs="Arial"/>
        </w:rPr>
        <w:t>s permet</w:t>
      </w:r>
      <w:r w:rsidR="00535994" w:rsidRPr="003F7FA0">
        <w:rPr>
          <w:rFonts w:ascii="Arial" w:hAnsi="Arial" w:cs="Arial"/>
        </w:rPr>
        <w:t>,</w:t>
      </w:r>
      <w:r w:rsidR="00535994">
        <w:rPr>
          <w:rFonts w:ascii="Arial" w:hAnsi="Arial" w:cs="Arial"/>
        </w:rPr>
        <w:t xml:space="preserve"> en effet, </w:t>
      </w:r>
      <w:r w:rsidR="00535994" w:rsidRPr="003F7FA0">
        <w:rPr>
          <w:rFonts w:ascii="Arial" w:hAnsi="Arial" w:cs="Arial"/>
        </w:rPr>
        <w:t>dans le cadre d’une procédure d’autorisation, de prévoir un régime différent de celui de l’</w:t>
      </w:r>
      <w:r w:rsidR="00535994">
        <w:rPr>
          <w:rFonts w:ascii="Arial" w:hAnsi="Arial" w:cs="Arial"/>
        </w:rPr>
        <w:t>autorisation tacite lorsqu’une telle démarche</w:t>
      </w:r>
      <w:r w:rsidR="00535994" w:rsidRPr="003F7FA0">
        <w:rPr>
          <w:rFonts w:ascii="Arial" w:hAnsi="Arial" w:cs="Arial"/>
        </w:rPr>
        <w:t xml:space="preserve"> est justifié</w:t>
      </w:r>
      <w:r w:rsidR="00EA65DA">
        <w:rPr>
          <w:rFonts w:ascii="Arial" w:hAnsi="Arial" w:cs="Arial"/>
        </w:rPr>
        <w:t>e</w:t>
      </w:r>
      <w:r w:rsidR="00535994" w:rsidRPr="003F7FA0">
        <w:rPr>
          <w:rFonts w:ascii="Arial" w:hAnsi="Arial" w:cs="Arial"/>
        </w:rPr>
        <w:t xml:space="preserve"> par une raison impérieuse d’intérêt général.</w:t>
      </w:r>
    </w:p>
    <w:p w:rsidR="00535994" w:rsidRPr="003F7FA0" w:rsidRDefault="00535994" w:rsidP="00535994">
      <w:pPr>
        <w:rPr>
          <w:rFonts w:ascii="Arial" w:hAnsi="Arial" w:cs="Arial"/>
          <w:lang w:val="fr-CH"/>
        </w:rPr>
      </w:pPr>
    </w:p>
    <w:p w:rsidR="00535994" w:rsidRDefault="000B6E18" w:rsidP="00535994">
      <w:pPr>
        <w:rPr>
          <w:rFonts w:ascii="Arial" w:hAnsi="Arial" w:cs="Arial"/>
        </w:rPr>
      </w:pPr>
      <w:r>
        <w:rPr>
          <w:rFonts w:ascii="Arial" w:hAnsi="Arial" w:cs="Arial"/>
          <w:lang w:val="fr-CH"/>
        </w:rPr>
        <w:t xml:space="preserve">Ensuite, </w:t>
      </w:r>
      <w:r w:rsidR="00535994" w:rsidRPr="003F7FA0">
        <w:rPr>
          <w:rFonts w:ascii="Arial" w:hAnsi="Arial" w:cs="Arial"/>
        </w:rPr>
        <w:t xml:space="preserve">la commission parlementaire a structuré </w:t>
      </w:r>
      <w:r w:rsidR="00535994">
        <w:rPr>
          <w:rFonts w:ascii="Arial" w:hAnsi="Arial" w:cs="Arial"/>
        </w:rPr>
        <w:t>davantage les dispositions relatives aux</w:t>
      </w:r>
      <w:r w:rsidR="00535994" w:rsidRPr="003F7FA0">
        <w:rPr>
          <w:rFonts w:ascii="Arial" w:hAnsi="Arial" w:cs="Arial"/>
        </w:rPr>
        <w:t xml:space="preserve"> procédures d’autorisation</w:t>
      </w:r>
      <w:r w:rsidR="00A24AA4">
        <w:rPr>
          <w:rFonts w:ascii="Arial" w:hAnsi="Arial" w:cs="Arial"/>
        </w:rPr>
        <w:t xml:space="preserve">, tout en </w:t>
      </w:r>
      <w:r w:rsidR="00A24AA4">
        <w:rPr>
          <w:rFonts w:ascii="Arial" w:hAnsi="Arial" w:cs="Arial"/>
          <w:lang w:val="fr-CH"/>
        </w:rPr>
        <w:t xml:space="preserve">tenant compte des </w:t>
      </w:r>
      <w:r w:rsidR="00A24AA4" w:rsidRPr="003F7FA0">
        <w:rPr>
          <w:rFonts w:ascii="Arial" w:hAnsi="Arial" w:cs="Arial"/>
          <w:lang w:val="fr-CH"/>
        </w:rPr>
        <w:t>objections et oppositions formelles de la part du Conseil d’Etat</w:t>
      </w:r>
      <w:r w:rsidR="00535994" w:rsidRPr="003F7FA0">
        <w:rPr>
          <w:rFonts w:ascii="Arial" w:hAnsi="Arial" w:cs="Arial"/>
        </w:rPr>
        <w:t xml:space="preserve">. </w:t>
      </w:r>
      <w:r w:rsidR="00535994">
        <w:rPr>
          <w:rFonts w:ascii="Arial" w:hAnsi="Arial" w:cs="Arial"/>
        </w:rPr>
        <w:t>Elle</w:t>
      </w:r>
      <w:r w:rsidR="00535994" w:rsidRPr="003F7FA0">
        <w:rPr>
          <w:rFonts w:ascii="Arial" w:hAnsi="Arial" w:cs="Arial"/>
        </w:rPr>
        <w:t xml:space="preserve"> a notamment introduit un délai d’instructio</w:t>
      </w:r>
      <w:r>
        <w:rPr>
          <w:rFonts w:ascii="Arial" w:hAnsi="Arial" w:cs="Arial"/>
        </w:rPr>
        <w:t>n général maximal de trois mois</w:t>
      </w:r>
      <w:r w:rsidR="00535994" w:rsidRPr="003F7FA0">
        <w:rPr>
          <w:rFonts w:ascii="Arial" w:hAnsi="Arial" w:cs="Arial"/>
        </w:rPr>
        <w:t xml:space="preserve"> et </w:t>
      </w:r>
      <w:r w:rsidRPr="003F7FA0">
        <w:rPr>
          <w:rFonts w:ascii="Arial" w:hAnsi="Arial" w:cs="Arial"/>
        </w:rPr>
        <w:t xml:space="preserve">a supprimé </w:t>
      </w:r>
      <w:r w:rsidR="00535994" w:rsidRPr="003F7FA0">
        <w:rPr>
          <w:rFonts w:ascii="Arial" w:hAnsi="Arial" w:cs="Arial"/>
        </w:rPr>
        <w:t>le règlement grand-ducal initialement prévu pour la fixation des délais d’instruction. Le texte ne prévoit pas que ce délai général maximal soit un délai unique applicable à toutes les procédures d’autorisation, mais plutôt une sorte de « filet de sécurité » pour ces procédures d’</w:t>
      </w:r>
      <w:r w:rsidR="00535994">
        <w:rPr>
          <w:rFonts w:ascii="Arial" w:hAnsi="Arial" w:cs="Arial"/>
        </w:rPr>
        <w:t>autorisation où un</w:t>
      </w:r>
      <w:r w:rsidR="00535994" w:rsidRPr="003F7FA0">
        <w:rPr>
          <w:rFonts w:ascii="Arial" w:hAnsi="Arial" w:cs="Arial"/>
        </w:rPr>
        <w:t xml:space="preserve"> délai spécifique mieux adapté n’a pas (encore) été prévu.</w:t>
      </w:r>
      <w:r>
        <w:rPr>
          <w:rFonts w:ascii="Arial" w:hAnsi="Arial" w:cs="Arial"/>
        </w:rPr>
        <w:t xml:space="preserve"> La commission </w:t>
      </w:r>
      <w:r w:rsidR="00535994">
        <w:rPr>
          <w:rFonts w:ascii="Arial" w:hAnsi="Arial" w:cs="Arial"/>
        </w:rPr>
        <w:t>a e</w:t>
      </w:r>
      <w:r w:rsidR="00535994" w:rsidRPr="003F7FA0">
        <w:rPr>
          <w:rFonts w:ascii="Arial" w:hAnsi="Arial" w:cs="Arial"/>
        </w:rPr>
        <w:t xml:space="preserve">n outre précisé que </w:t>
      </w:r>
      <w:r w:rsidR="005A5736">
        <w:rPr>
          <w:rFonts w:ascii="Arial" w:hAnsi="Arial" w:cs="Arial"/>
        </w:rPr>
        <w:t>c</w:t>
      </w:r>
      <w:r w:rsidR="00535994" w:rsidRPr="003F7FA0">
        <w:rPr>
          <w:rFonts w:ascii="Arial" w:hAnsi="Arial" w:cs="Arial"/>
        </w:rPr>
        <w:t>e délai commence à courir à partir du moment où tous les documents nécessaires ont été fournis à l’autorité compétente. Par ailleurs, lorsque la complexité du dossier le justifie, l’autorité compétente peut prolonger le délai une seul</w:t>
      </w:r>
      <w:r w:rsidR="00535994">
        <w:rPr>
          <w:rFonts w:ascii="Arial" w:hAnsi="Arial" w:cs="Arial"/>
        </w:rPr>
        <w:t>e</w:t>
      </w:r>
      <w:r w:rsidR="00535994" w:rsidRPr="003F7FA0">
        <w:rPr>
          <w:rFonts w:ascii="Arial" w:hAnsi="Arial" w:cs="Arial"/>
        </w:rPr>
        <w:t xml:space="preserve"> fois pour une durée limitée.</w:t>
      </w:r>
      <w:r>
        <w:rPr>
          <w:rFonts w:ascii="Arial" w:hAnsi="Arial" w:cs="Arial"/>
        </w:rPr>
        <w:t xml:space="preserve"> </w:t>
      </w:r>
    </w:p>
    <w:sectPr w:rsidR="00535994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B2" w:rsidRDefault="00B506B2" w:rsidP="00A37DED">
      <w:r>
        <w:separator/>
      </w:r>
    </w:p>
  </w:endnote>
  <w:endnote w:type="continuationSeparator" w:id="0">
    <w:p w:rsidR="00B506B2" w:rsidRDefault="00B506B2" w:rsidP="00A3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B2" w:rsidRDefault="00B506B2" w:rsidP="00A37DED">
      <w:r>
        <w:separator/>
      </w:r>
    </w:p>
  </w:footnote>
  <w:footnote w:type="continuationSeparator" w:id="0">
    <w:p w:rsidR="00B506B2" w:rsidRDefault="00B506B2" w:rsidP="00A3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2ED2"/>
    <w:multiLevelType w:val="multilevel"/>
    <w:tmpl w:val="FF88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DED"/>
    <w:rsid w:val="0001189D"/>
    <w:rsid w:val="00071926"/>
    <w:rsid w:val="000B6E18"/>
    <w:rsid w:val="001B1185"/>
    <w:rsid w:val="002474E5"/>
    <w:rsid w:val="00333FB4"/>
    <w:rsid w:val="003A085C"/>
    <w:rsid w:val="00535994"/>
    <w:rsid w:val="005A5736"/>
    <w:rsid w:val="00955B75"/>
    <w:rsid w:val="00A24AA4"/>
    <w:rsid w:val="00A37DED"/>
    <w:rsid w:val="00AA4D69"/>
    <w:rsid w:val="00B506B2"/>
    <w:rsid w:val="00B610A2"/>
    <w:rsid w:val="00C83592"/>
    <w:rsid w:val="00DC4485"/>
    <w:rsid w:val="00EA65DA"/>
    <w:rsid w:val="00EE1C21"/>
    <w:rsid w:val="00EE6193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27BD7F-75B3-4ACF-AABC-4CCE672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ED"/>
    <w:pPr>
      <w:jc w:val="both"/>
    </w:pPr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7DED"/>
    <w:rPr>
      <w:sz w:val="20"/>
      <w:szCs w:val="20"/>
      <w:lang w:val="fr-L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7DED"/>
    <w:rPr>
      <w:rFonts w:ascii="Tahoma" w:eastAsia="Calibri" w:hAnsi="Tahom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7DED"/>
    <w:rPr>
      <w:vertAlign w:val="superscript"/>
    </w:rPr>
  </w:style>
  <w:style w:type="character" w:styleId="lev">
    <w:name w:val="Strong"/>
    <w:basedOn w:val="Policepardfaut"/>
    <w:uiPriority w:val="22"/>
    <w:qFormat/>
    <w:rsid w:val="00A37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CDAE04E-F47B-49DE-9746-BFB3AC99F15F}"/>
</file>

<file path=customXml/itemProps2.xml><?xml version="1.0" encoding="utf-8"?>
<ds:datastoreItem xmlns:ds="http://schemas.openxmlformats.org/officeDocument/2006/customXml" ds:itemID="{44E83461-BF5A-40D0-8F79-A85C3BC504F7}"/>
</file>

<file path=customXml/itemProps3.xml><?xml version="1.0" encoding="utf-8"?>
<ds:datastoreItem xmlns:ds="http://schemas.openxmlformats.org/officeDocument/2006/customXml" ds:itemID="{EA19B529-BE25-43A7-AD5C-7EB7D5E8C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2011-04-28T15:23:00Z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