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1C6C98" w:rsidRDefault="00592DBC" w:rsidP="00592DBC">
      <w:pPr>
        <w:jc w:val="center"/>
        <w:rPr>
          <w:rFonts w:ascii="Arial" w:hAnsi="Arial" w:cs="Arial"/>
          <w:b/>
        </w:rPr>
      </w:pPr>
      <w:bookmarkStart w:id="0" w:name="_GoBack"/>
      <w:bookmarkEnd w:id="0"/>
      <w:r w:rsidRPr="001C6C98">
        <w:rPr>
          <w:rFonts w:ascii="Arial" w:hAnsi="Arial" w:cs="Arial"/>
          <w:b/>
        </w:rPr>
        <w:t xml:space="preserve">N° </w:t>
      </w:r>
      <w:r w:rsidR="00063BC3" w:rsidRPr="001C6C98">
        <w:rPr>
          <w:rFonts w:ascii="Arial" w:hAnsi="Arial" w:cs="Arial"/>
          <w:b/>
        </w:rPr>
        <w:t>6017</w:t>
      </w:r>
    </w:p>
    <w:p w:rsidR="00063BC3" w:rsidRPr="001C6C98" w:rsidRDefault="00063BC3" w:rsidP="00063BC3">
      <w:pPr>
        <w:pStyle w:val="Textebrut"/>
        <w:rPr>
          <w:rFonts w:ascii="Arial" w:hAnsi="Arial" w:cs="Arial"/>
          <w:b/>
          <w:bCs/>
          <w:sz w:val="24"/>
          <w:szCs w:val="24"/>
        </w:rPr>
      </w:pPr>
    </w:p>
    <w:p w:rsidR="00063BC3" w:rsidRPr="001C6C98" w:rsidRDefault="00063BC3" w:rsidP="00063BC3">
      <w:pPr>
        <w:pStyle w:val="Textebrut"/>
        <w:jc w:val="center"/>
        <w:rPr>
          <w:rFonts w:ascii="Arial" w:hAnsi="Arial" w:cs="Arial"/>
          <w:b/>
          <w:bCs/>
          <w:sz w:val="24"/>
          <w:szCs w:val="24"/>
        </w:rPr>
      </w:pPr>
      <w:r w:rsidRPr="001C6C98">
        <w:rPr>
          <w:rFonts w:ascii="Arial" w:hAnsi="Arial" w:cs="Arial"/>
          <w:b/>
          <w:bCs/>
          <w:sz w:val="24"/>
          <w:szCs w:val="24"/>
        </w:rPr>
        <w:t>Projet de loi portant</w:t>
      </w:r>
    </w:p>
    <w:p w:rsidR="00063BC3" w:rsidRPr="001C6C98" w:rsidRDefault="00063BC3" w:rsidP="00063BC3">
      <w:pPr>
        <w:pStyle w:val="Textebrut"/>
        <w:jc w:val="center"/>
        <w:rPr>
          <w:rFonts w:ascii="Arial" w:hAnsi="Arial" w:cs="Arial"/>
          <w:b/>
          <w:bCs/>
          <w:sz w:val="24"/>
          <w:szCs w:val="24"/>
        </w:rPr>
      </w:pPr>
    </w:p>
    <w:p w:rsidR="00063BC3" w:rsidRPr="001C6C98" w:rsidRDefault="00063BC3" w:rsidP="00063BC3">
      <w:pPr>
        <w:pStyle w:val="Textebrut"/>
        <w:jc w:val="center"/>
        <w:rPr>
          <w:rFonts w:ascii="Arial" w:hAnsi="Arial" w:cs="Arial"/>
          <w:b/>
          <w:bCs/>
          <w:sz w:val="24"/>
          <w:szCs w:val="24"/>
        </w:rPr>
      </w:pPr>
      <w:r w:rsidRPr="001C6C98">
        <w:rPr>
          <w:rFonts w:ascii="Arial" w:hAnsi="Arial" w:cs="Arial"/>
          <w:b/>
          <w:bCs/>
          <w:sz w:val="24"/>
          <w:szCs w:val="24"/>
        </w:rPr>
        <w:t>1. approbation de la Convention du 29 mai 2000 relative à l'entraide judiciaire en matière pénale entre les États membres de l'Union européenne</w:t>
      </w:r>
    </w:p>
    <w:p w:rsidR="00063BC3" w:rsidRPr="001C6C98" w:rsidRDefault="00063BC3" w:rsidP="00063BC3">
      <w:pPr>
        <w:pStyle w:val="Textebrut"/>
        <w:jc w:val="center"/>
        <w:rPr>
          <w:rFonts w:ascii="Arial" w:hAnsi="Arial" w:cs="Arial"/>
          <w:b/>
          <w:bCs/>
          <w:sz w:val="24"/>
          <w:szCs w:val="24"/>
        </w:rPr>
      </w:pPr>
      <w:r w:rsidRPr="001C6C98">
        <w:rPr>
          <w:rFonts w:ascii="Arial" w:hAnsi="Arial" w:cs="Arial"/>
          <w:b/>
          <w:bCs/>
          <w:sz w:val="24"/>
          <w:szCs w:val="24"/>
        </w:rPr>
        <w:t>2. approbation du Protocole du 16 octobre 2001 à la Convention relative à l'entraide judiciaire en matière pénale entre les États membres de l'Union européenne</w:t>
      </w:r>
    </w:p>
    <w:p w:rsidR="00063BC3" w:rsidRPr="001C6C98" w:rsidRDefault="00063BC3" w:rsidP="00063BC3">
      <w:pPr>
        <w:pStyle w:val="Textebrut"/>
        <w:jc w:val="center"/>
        <w:rPr>
          <w:rFonts w:ascii="Arial" w:hAnsi="Arial" w:cs="Arial"/>
          <w:b/>
          <w:bCs/>
          <w:sz w:val="24"/>
          <w:szCs w:val="24"/>
        </w:rPr>
      </w:pPr>
      <w:r w:rsidRPr="001C6C98">
        <w:rPr>
          <w:rFonts w:ascii="Arial" w:hAnsi="Arial" w:cs="Arial"/>
          <w:b/>
          <w:bCs/>
          <w:sz w:val="24"/>
          <w:szCs w:val="24"/>
        </w:rPr>
        <w:t>3. modification de certaines dispositions du Code d'instruction criminelle et de la loi du 8 août 2000 sur l'entraide judiciaire internationale en matière pénale</w:t>
      </w:r>
    </w:p>
    <w:p w:rsidR="00255463" w:rsidRPr="001C6C98" w:rsidRDefault="00255463" w:rsidP="006C0DA4">
      <w:pPr>
        <w:jc w:val="center"/>
        <w:rPr>
          <w:rFonts w:ascii="Arial" w:hAnsi="Arial" w:cs="Arial"/>
          <w:b/>
          <w:sz w:val="22"/>
          <w:szCs w:val="22"/>
        </w:rPr>
      </w:pPr>
    </w:p>
    <w:p w:rsidR="003332DC" w:rsidRPr="001C6C98" w:rsidRDefault="003332DC" w:rsidP="003332DC">
      <w:pPr>
        <w:pStyle w:val="Textebrut"/>
        <w:jc w:val="center"/>
        <w:rPr>
          <w:rFonts w:ascii="Arial" w:hAnsi="Arial" w:cs="Arial"/>
          <w:b/>
          <w:sz w:val="22"/>
          <w:szCs w:val="22"/>
          <w:lang w:val="fr-LU"/>
        </w:rPr>
      </w:pPr>
    </w:p>
    <w:p w:rsidR="003332DC" w:rsidRPr="001C6C98" w:rsidRDefault="003332DC" w:rsidP="003332DC">
      <w:pPr>
        <w:pStyle w:val="Textebrut"/>
        <w:jc w:val="center"/>
        <w:rPr>
          <w:rFonts w:ascii="Arial" w:hAnsi="Arial" w:cs="Arial"/>
          <w:b/>
          <w:sz w:val="22"/>
          <w:szCs w:val="22"/>
          <w:lang w:val="fr-LU"/>
        </w:rPr>
      </w:pPr>
      <w:r w:rsidRPr="001C6C98">
        <w:rPr>
          <w:rFonts w:ascii="Arial" w:hAnsi="Arial" w:cs="Arial"/>
          <w:b/>
          <w:sz w:val="22"/>
          <w:szCs w:val="22"/>
          <w:lang w:val="fr-LU"/>
        </w:rPr>
        <w:t>___________________________________________________________________</w:t>
      </w:r>
    </w:p>
    <w:p w:rsidR="006C0DA4" w:rsidRPr="001C6C98" w:rsidRDefault="006C0DA4" w:rsidP="006C0DA4">
      <w:pPr>
        <w:jc w:val="both"/>
        <w:rPr>
          <w:rFonts w:ascii="Arial" w:hAnsi="Arial" w:cs="Arial"/>
          <w:sz w:val="22"/>
          <w:szCs w:val="22"/>
        </w:rPr>
      </w:pPr>
    </w:p>
    <w:p w:rsidR="00255463" w:rsidRPr="001C6C98" w:rsidRDefault="00255463" w:rsidP="00255463">
      <w:pPr>
        <w:jc w:val="center"/>
        <w:rPr>
          <w:rFonts w:ascii="Arial" w:hAnsi="Arial" w:cs="Arial"/>
          <w:b/>
          <w:sz w:val="22"/>
          <w:szCs w:val="22"/>
          <w:u w:val="single"/>
        </w:rPr>
      </w:pPr>
      <w:r w:rsidRPr="001C6C98">
        <w:rPr>
          <w:rFonts w:ascii="Arial" w:hAnsi="Arial" w:cs="Arial"/>
          <w:b/>
          <w:sz w:val="22"/>
          <w:szCs w:val="22"/>
          <w:u w:val="single"/>
        </w:rPr>
        <w:t>Résumé</w:t>
      </w:r>
    </w:p>
    <w:p w:rsidR="006C0DA4" w:rsidRPr="001C6C98" w:rsidRDefault="006C0DA4" w:rsidP="006C0DA4">
      <w:pPr>
        <w:jc w:val="both"/>
        <w:rPr>
          <w:rFonts w:ascii="Arial" w:hAnsi="Arial" w:cs="Arial"/>
          <w:sz w:val="22"/>
          <w:szCs w:val="22"/>
        </w:rPr>
      </w:pPr>
    </w:p>
    <w:p w:rsidR="001C6C98" w:rsidRPr="001C6C98" w:rsidRDefault="001C6C98" w:rsidP="001C6C98">
      <w:pPr>
        <w:autoSpaceDE w:val="0"/>
        <w:autoSpaceDN w:val="0"/>
        <w:adjustRightInd w:val="0"/>
        <w:jc w:val="both"/>
        <w:rPr>
          <w:rFonts w:ascii="Arial" w:hAnsi="Arial" w:cs="Arial"/>
          <w:sz w:val="22"/>
          <w:szCs w:val="22"/>
        </w:rPr>
      </w:pPr>
      <w:r w:rsidRPr="001C6C98">
        <w:rPr>
          <w:rFonts w:ascii="Arial" w:hAnsi="Arial" w:cs="Arial"/>
          <w:sz w:val="22"/>
          <w:szCs w:val="22"/>
        </w:rPr>
        <w:t>Le projet de loi a pour objet de d’approuver la Convention du 29 mai 2000 relative à l’entraide judiciaire en matière pénale entre Etats membres de l’Union européenne (ci-après la Convention de 2000) ainsi que le Protocole du 16 octobre 2001 à la Convention relative à l’entraide judiciaire en matière pénale entre les Etats membres de l’Union européenne (ci-après le Protocole de 2001).</w:t>
      </w:r>
    </w:p>
    <w:p w:rsidR="001C6C98" w:rsidRPr="001C6C98" w:rsidRDefault="001C6C98" w:rsidP="001C6C98">
      <w:pPr>
        <w:autoSpaceDE w:val="0"/>
        <w:autoSpaceDN w:val="0"/>
        <w:adjustRightInd w:val="0"/>
        <w:jc w:val="both"/>
        <w:rPr>
          <w:rFonts w:ascii="Arial" w:hAnsi="Arial" w:cs="Arial"/>
          <w:sz w:val="22"/>
          <w:szCs w:val="22"/>
        </w:rPr>
      </w:pPr>
    </w:p>
    <w:p w:rsidR="001C6C98" w:rsidRPr="001C6C98" w:rsidRDefault="001C6C98" w:rsidP="001C6C98">
      <w:pPr>
        <w:autoSpaceDE w:val="0"/>
        <w:autoSpaceDN w:val="0"/>
        <w:adjustRightInd w:val="0"/>
        <w:jc w:val="both"/>
        <w:rPr>
          <w:rFonts w:ascii="Arial" w:hAnsi="Arial" w:cs="Arial"/>
          <w:sz w:val="22"/>
          <w:szCs w:val="22"/>
        </w:rPr>
      </w:pPr>
    </w:p>
    <w:p w:rsidR="001C6C98" w:rsidRPr="001C6C98" w:rsidRDefault="001C6C98" w:rsidP="001C6C98">
      <w:pPr>
        <w:autoSpaceDE w:val="0"/>
        <w:autoSpaceDN w:val="0"/>
        <w:adjustRightInd w:val="0"/>
        <w:jc w:val="center"/>
        <w:rPr>
          <w:rFonts w:ascii="Arial" w:hAnsi="Arial" w:cs="Arial"/>
          <w:b/>
          <w:sz w:val="22"/>
          <w:szCs w:val="22"/>
        </w:rPr>
      </w:pPr>
      <w:r w:rsidRPr="001C6C98">
        <w:rPr>
          <w:rFonts w:ascii="Arial" w:hAnsi="Arial" w:cs="Arial"/>
          <w:b/>
          <w:sz w:val="22"/>
          <w:szCs w:val="22"/>
        </w:rPr>
        <w:t>1. La coopération policière et judiciaire en matière pénale en droit communautaire</w:t>
      </w:r>
    </w:p>
    <w:p w:rsidR="001C6C98" w:rsidRPr="001C6C98" w:rsidRDefault="001C6C98" w:rsidP="001C6C98">
      <w:pPr>
        <w:autoSpaceDE w:val="0"/>
        <w:autoSpaceDN w:val="0"/>
        <w:adjustRightInd w:val="0"/>
        <w:jc w:val="both"/>
        <w:rPr>
          <w:rFonts w:ascii="Arial" w:hAnsi="Arial" w:cs="Arial"/>
          <w:sz w:val="22"/>
          <w:szCs w:val="22"/>
        </w:rPr>
      </w:pPr>
    </w:p>
    <w:p w:rsidR="001C6C98" w:rsidRPr="001C6C98" w:rsidRDefault="001C6C98" w:rsidP="001C6C98">
      <w:pPr>
        <w:autoSpaceDE w:val="0"/>
        <w:autoSpaceDN w:val="0"/>
        <w:adjustRightInd w:val="0"/>
        <w:jc w:val="both"/>
        <w:rPr>
          <w:rFonts w:ascii="Arial" w:hAnsi="Arial" w:cs="Arial"/>
          <w:sz w:val="22"/>
          <w:szCs w:val="22"/>
        </w:rPr>
      </w:pPr>
      <w:r w:rsidRPr="001C6C98">
        <w:rPr>
          <w:rFonts w:ascii="Arial" w:hAnsi="Arial" w:cs="Arial"/>
          <w:sz w:val="22"/>
          <w:szCs w:val="22"/>
        </w:rPr>
        <w:t>La Convention de 2000 est la première en la matière à avoir été adoptée après l’entrée en vigueur du traité sur l’Union européenne. Le traité de Maastricht sur l’Union européenne du 7 février 1992 contient un titre VI « Dispositions sur la coopération dans les domaines de la justice et des affaires intérieures » (articles K à K9) constituant le 3</w:t>
      </w:r>
      <w:r w:rsidRPr="001C6C98">
        <w:rPr>
          <w:rFonts w:ascii="Arial" w:hAnsi="Arial" w:cs="Arial"/>
          <w:sz w:val="22"/>
          <w:szCs w:val="22"/>
          <w:vertAlign w:val="superscript"/>
        </w:rPr>
        <w:t>ième</w:t>
      </w:r>
      <w:r w:rsidRPr="001C6C98">
        <w:rPr>
          <w:rFonts w:ascii="Arial" w:hAnsi="Arial" w:cs="Arial"/>
          <w:sz w:val="22"/>
          <w:szCs w:val="22"/>
        </w:rPr>
        <w:t xml:space="preserve"> pilier (Coopération dans le domaine de la justice et des affaires intérieures ou CJAI) de l’Union européenne. La révision du traité sur l’Union européenne par le traité d’Amsterdam du 2 octobre 1997 remplace le titre VI du traité sur l’Union européenne par un nouveau titre « Dispositions relatives à la coopération policière et judiciaire en matière pénale ». En même temps le traité d’Amsterdam est à l’origine d’une communautarisation importante du 3</w:t>
      </w:r>
      <w:r w:rsidRPr="001C6C98">
        <w:rPr>
          <w:rFonts w:ascii="Arial" w:hAnsi="Arial" w:cs="Arial"/>
          <w:sz w:val="22"/>
          <w:szCs w:val="22"/>
          <w:vertAlign w:val="superscript"/>
        </w:rPr>
        <w:t>ième</w:t>
      </w:r>
      <w:r w:rsidRPr="001C6C98">
        <w:rPr>
          <w:rFonts w:ascii="Arial" w:hAnsi="Arial" w:cs="Arial"/>
          <w:sz w:val="22"/>
          <w:szCs w:val="22"/>
        </w:rPr>
        <w:t xml:space="preserve"> pilier puisque certaines des ses dispositions passent dans le girond du traité instituant la Communauté européenne et plus précisément dans le nouveau titre IV intitulé « Visas, asile, immigration et autres politiques liées à la libre circulation des personnes ». Enfin, le traité de Lisbonne du 13 décembre 2007 marque la communautarisation de la coopération policière et judiciaire en matière pénale en consacrant le titre V du traité sur le fonctionnement de l’Union européenne à « l'Espace de liberté, de sécurité et de justice » qui comprend les politiques relatives aux contrôles aux frontières, à l'asile et à l'immigration, la coopération judiciaire en matière civile, la coopération judiciaire en matière pénale et la coopération policière. </w:t>
      </w:r>
    </w:p>
    <w:p w:rsidR="001C6C98" w:rsidRPr="001C6C98" w:rsidRDefault="001C6C98" w:rsidP="001C6C98">
      <w:pPr>
        <w:jc w:val="both"/>
        <w:rPr>
          <w:rFonts w:ascii="Arial" w:hAnsi="Arial" w:cs="Arial"/>
          <w:sz w:val="22"/>
          <w:szCs w:val="22"/>
        </w:rPr>
      </w:pPr>
    </w:p>
    <w:p w:rsidR="001C6C98" w:rsidRPr="001C6C98" w:rsidRDefault="001C6C98" w:rsidP="001C6C98">
      <w:pPr>
        <w:jc w:val="both"/>
        <w:rPr>
          <w:rFonts w:ascii="Arial" w:hAnsi="Arial" w:cs="Arial"/>
          <w:sz w:val="22"/>
          <w:szCs w:val="22"/>
        </w:rPr>
      </w:pPr>
      <w:r w:rsidRPr="001C6C98">
        <w:rPr>
          <w:rFonts w:ascii="Arial" w:hAnsi="Arial" w:cs="Arial"/>
          <w:sz w:val="22"/>
          <w:szCs w:val="22"/>
        </w:rPr>
        <w:t>Cette communautarisation de plus en plus poussée de la coopération des Etats membres dans le domaine de la coopération policière et judiciaire en matière pénale place la Convention de 2000 et le Protocole de 2001 dans un cadre bien plus important dépassant largement le cadre du droit international conventionnel</w:t>
      </w:r>
      <w:r w:rsidRPr="001C6C98">
        <w:rPr>
          <w:rStyle w:val="Appelnotedebasdep"/>
          <w:rFonts w:ascii="Arial" w:hAnsi="Arial" w:cs="Arial"/>
          <w:sz w:val="22"/>
          <w:szCs w:val="22"/>
        </w:rPr>
        <w:footnoteReference w:id="1"/>
      </w:r>
      <w:r w:rsidRPr="001C6C98">
        <w:rPr>
          <w:rFonts w:ascii="Arial" w:hAnsi="Arial" w:cs="Arial"/>
          <w:sz w:val="22"/>
          <w:szCs w:val="22"/>
        </w:rPr>
        <w:t xml:space="preserve">. L’article 9 du protocole n°36 au </w:t>
      </w:r>
      <w:r w:rsidRPr="001C6C98">
        <w:rPr>
          <w:rFonts w:ascii="Arial" w:hAnsi="Arial" w:cs="Arial"/>
          <w:sz w:val="22"/>
          <w:szCs w:val="22"/>
        </w:rPr>
        <w:lastRenderedPageBreak/>
        <w:t>traité sur le fonctionnement de l’Union européenne laisse présager que les dispositions de la Convention de 2000 seront tôt ou tard appelées à rejoindre la sphère communautaire avec les mécanismes décisionnels qui y sont prévus</w:t>
      </w:r>
      <w:r w:rsidRPr="001C6C98">
        <w:rPr>
          <w:rStyle w:val="Appelnotedebasdep"/>
          <w:rFonts w:ascii="Arial" w:hAnsi="Arial" w:cs="Arial"/>
          <w:sz w:val="22"/>
          <w:szCs w:val="22"/>
        </w:rPr>
        <w:footnoteReference w:id="2"/>
      </w:r>
      <w:r w:rsidRPr="001C6C98">
        <w:rPr>
          <w:rFonts w:ascii="Arial" w:hAnsi="Arial" w:cs="Arial"/>
          <w:sz w:val="22"/>
          <w:szCs w:val="22"/>
        </w:rPr>
        <w:t xml:space="preserve"> en stipulant que «</w:t>
      </w:r>
      <w:r w:rsidRPr="001C6C98">
        <w:rPr>
          <w:rFonts w:ascii="Arial" w:hAnsi="Arial" w:cs="Arial"/>
          <w:i/>
          <w:sz w:val="22"/>
          <w:szCs w:val="22"/>
        </w:rPr>
        <w:t xml:space="preserve">Les effets juridiques des actes des institutions, organes et organismes de l'Union adoptés sur la base du traité sur l'Union européenne avant l'entrée en vigueur du traité de Lisbonne sont préservés aussi longtemps que ces actes n'auront pas été abrogés, annulés ou modifiés en application des traités. </w:t>
      </w:r>
      <w:r w:rsidRPr="001C6C98">
        <w:rPr>
          <w:rFonts w:ascii="Arial" w:hAnsi="Arial" w:cs="Arial"/>
          <w:i/>
          <w:sz w:val="22"/>
          <w:szCs w:val="22"/>
          <w:u w:val="single"/>
        </w:rPr>
        <w:t>Il en va de même des conventions conclues entre les États membres sur la base du traité sur l'Union européenne</w:t>
      </w:r>
      <w:r w:rsidRPr="001C6C98">
        <w:rPr>
          <w:rFonts w:ascii="Arial" w:hAnsi="Arial" w:cs="Arial"/>
          <w:sz w:val="22"/>
          <w:szCs w:val="22"/>
        </w:rPr>
        <w:t>.»</w:t>
      </w:r>
      <w:r w:rsidRPr="001C6C98">
        <w:rPr>
          <w:rStyle w:val="Appelnotedebasdep"/>
          <w:rFonts w:ascii="Arial" w:hAnsi="Arial" w:cs="Arial"/>
          <w:sz w:val="22"/>
          <w:szCs w:val="22"/>
        </w:rPr>
        <w:footnoteReference w:id="3"/>
      </w:r>
    </w:p>
    <w:p w:rsidR="001C6C98" w:rsidRPr="001C6C98" w:rsidRDefault="001C6C98" w:rsidP="001C6C98">
      <w:pPr>
        <w:jc w:val="both"/>
        <w:rPr>
          <w:rFonts w:ascii="Arial" w:hAnsi="Arial" w:cs="Arial"/>
          <w:sz w:val="22"/>
          <w:szCs w:val="22"/>
        </w:rPr>
      </w:pPr>
    </w:p>
    <w:p w:rsidR="001C6C98" w:rsidRPr="001C6C98" w:rsidRDefault="001C6C98" w:rsidP="001C6C98">
      <w:pPr>
        <w:jc w:val="both"/>
        <w:rPr>
          <w:rFonts w:ascii="Arial" w:hAnsi="Arial" w:cs="Arial"/>
          <w:sz w:val="22"/>
          <w:szCs w:val="22"/>
        </w:rPr>
      </w:pPr>
    </w:p>
    <w:p w:rsidR="001C6C98" w:rsidRPr="001C6C98" w:rsidRDefault="001C6C98" w:rsidP="001C6C98">
      <w:pPr>
        <w:jc w:val="center"/>
        <w:rPr>
          <w:rFonts w:ascii="Arial" w:hAnsi="Arial" w:cs="Arial"/>
          <w:b/>
          <w:sz w:val="22"/>
          <w:szCs w:val="22"/>
        </w:rPr>
      </w:pPr>
      <w:r w:rsidRPr="001C6C98">
        <w:rPr>
          <w:rFonts w:ascii="Arial" w:hAnsi="Arial" w:cs="Arial"/>
          <w:b/>
          <w:sz w:val="22"/>
          <w:szCs w:val="22"/>
        </w:rPr>
        <w:t>2. Les objectifs poursuivis par la Convention de 2000</w:t>
      </w:r>
    </w:p>
    <w:p w:rsidR="001C6C98" w:rsidRPr="001C6C98" w:rsidRDefault="001C6C98" w:rsidP="001C6C98">
      <w:pPr>
        <w:jc w:val="both"/>
        <w:rPr>
          <w:rFonts w:ascii="Arial" w:hAnsi="Arial" w:cs="Arial"/>
          <w:sz w:val="22"/>
          <w:szCs w:val="22"/>
        </w:rPr>
      </w:pPr>
    </w:p>
    <w:p w:rsidR="001C6C98" w:rsidRPr="001C6C98" w:rsidRDefault="001C6C98" w:rsidP="001C6C98">
      <w:pPr>
        <w:jc w:val="both"/>
        <w:rPr>
          <w:rFonts w:ascii="Arial" w:hAnsi="Arial" w:cs="Arial"/>
          <w:sz w:val="22"/>
          <w:szCs w:val="22"/>
        </w:rPr>
      </w:pPr>
      <w:r w:rsidRPr="001C6C98">
        <w:rPr>
          <w:rFonts w:ascii="Arial" w:hAnsi="Arial" w:cs="Arial"/>
          <w:sz w:val="22"/>
          <w:szCs w:val="22"/>
        </w:rPr>
        <w:t>La Convention de 2000, prise sur base de l’article 34 paragraphe 2 du traité sur l’Union européenne, prend appui sur la convention européenne d’entraide judiciaire en matière pénale et son protocole du 17 mars 1978, d’une part, et la convention d’application de l’accord de Schengen du 14 juin 1985, conclue le 14 juin 1990, d’autre part, sans oublier le traité Benelux d’extradition et d’entraide judiciaire en matière pénale, du 27 juin 1962, qui comporte certains éléments précurseurs en matière d’entraide judiciaire ainsi que certaines dispositions et arrangements particuliers entre certains États membres. L’objectif poursuivi par la Convention de 2000 est d’améliorer la coopération judiciaire en matière pénale en développant et en modernisant les dispositions existantes et plus précisément en étendant les cas où l’entraide judiciaire peut être demandée. Le fonctionnement de l’entraide est facilité par des mesures qui la rendent plus rapide, plus souple et, selon ses auteurs, plus efficace</w:t>
      </w:r>
      <w:r w:rsidRPr="001C6C98">
        <w:rPr>
          <w:rStyle w:val="Appelnotedebasdep"/>
          <w:rFonts w:ascii="Arial" w:hAnsi="Arial" w:cs="Arial"/>
          <w:sz w:val="22"/>
          <w:szCs w:val="22"/>
        </w:rPr>
        <w:footnoteReference w:id="4"/>
      </w:r>
      <w:r w:rsidRPr="001C6C98">
        <w:rPr>
          <w:rFonts w:ascii="Arial" w:hAnsi="Arial" w:cs="Arial"/>
          <w:sz w:val="22"/>
          <w:szCs w:val="22"/>
        </w:rPr>
        <w:t xml:space="preserve"> (article 3 à 9 de la Convention de 2000).</w:t>
      </w:r>
    </w:p>
    <w:p w:rsidR="001C6C98" w:rsidRPr="001C6C98" w:rsidRDefault="001C6C98" w:rsidP="001C6C98">
      <w:pPr>
        <w:jc w:val="both"/>
        <w:rPr>
          <w:rFonts w:ascii="Arial" w:hAnsi="Arial" w:cs="Arial"/>
          <w:sz w:val="22"/>
          <w:szCs w:val="22"/>
        </w:rPr>
      </w:pPr>
    </w:p>
    <w:p w:rsidR="001C6C98" w:rsidRPr="001C6C98" w:rsidRDefault="001C6C98" w:rsidP="001C6C98">
      <w:pPr>
        <w:jc w:val="both"/>
        <w:rPr>
          <w:rFonts w:ascii="Arial" w:hAnsi="Arial" w:cs="Arial"/>
          <w:sz w:val="22"/>
          <w:szCs w:val="22"/>
        </w:rPr>
      </w:pPr>
      <w:r w:rsidRPr="001C6C98">
        <w:rPr>
          <w:rFonts w:ascii="Arial" w:hAnsi="Arial" w:cs="Arial"/>
          <w:sz w:val="22"/>
          <w:szCs w:val="22"/>
        </w:rPr>
        <w:t>Ainsi l’article 3 précise les procédures dans lesquelles l’entraide judiciaire peut également être accordée. Il s’agit des faits punissables selon le droit national de l’Etat membre requérant ou/et de l’Etat membre requis au titre d’infractions aux règlements poursuivies par des autorités administratives dont la décision peut donner lieu à un recours devant une juridiction compétente notamment en matière pénale</w:t>
      </w:r>
      <w:r w:rsidRPr="001C6C98">
        <w:rPr>
          <w:rStyle w:val="Appelnotedebasdep"/>
          <w:rFonts w:ascii="Arial" w:hAnsi="Arial" w:cs="Arial"/>
          <w:sz w:val="22"/>
          <w:szCs w:val="22"/>
        </w:rPr>
        <w:footnoteReference w:id="5"/>
      </w:r>
      <w:r w:rsidRPr="001C6C98">
        <w:rPr>
          <w:rFonts w:ascii="Arial" w:hAnsi="Arial" w:cs="Arial"/>
          <w:sz w:val="22"/>
          <w:szCs w:val="22"/>
        </w:rPr>
        <w:t xml:space="preserve">. Les infractions pouvant engager la responsabilité pénale des personnes morales sont également déclencheurs d’une procédure d’entraide judiciaire au sens de la Convention 2000. </w:t>
      </w:r>
    </w:p>
    <w:p w:rsidR="001C6C98" w:rsidRPr="001C6C98" w:rsidRDefault="001C6C98" w:rsidP="001C6C98">
      <w:pPr>
        <w:jc w:val="both"/>
        <w:rPr>
          <w:rFonts w:ascii="Arial" w:hAnsi="Arial" w:cs="Arial"/>
          <w:sz w:val="22"/>
          <w:szCs w:val="22"/>
        </w:rPr>
      </w:pPr>
    </w:p>
    <w:p w:rsidR="001C6C98" w:rsidRPr="001C6C98" w:rsidRDefault="001C6C98" w:rsidP="001C6C98">
      <w:pPr>
        <w:jc w:val="both"/>
        <w:rPr>
          <w:rFonts w:ascii="Arial" w:hAnsi="Arial" w:cs="Arial"/>
          <w:sz w:val="22"/>
          <w:szCs w:val="22"/>
        </w:rPr>
      </w:pPr>
      <w:r w:rsidRPr="001C6C98">
        <w:rPr>
          <w:rFonts w:ascii="Arial" w:hAnsi="Arial" w:cs="Arial"/>
          <w:sz w:val="22"/>
          <w:szCs w:val="22"/>
        </w:rPr>
        <w:t xml:space="preserve">L’article 4 prévoit les formalités et procédures dans le cadre de l’exécution des demandes d’entraide judiciaire. Ces formalités et procédures sont largement déterminées par le droit de l’Etat requérant. Ainsi, l’Etat requis devra respecter les formalités et procédures expressément indiquées par l’Etat requérant avec, comme seule réserve, les dispositions contraires prévues par la Convention de 2000 ou encore les principes fondamentaux du droit de l’Etat membre requis. La demande d’entraide doit être satisfaite « dès que possible » en fonction des échéances de procédure indiquées par l’Etat requérant. </w:t>
      </w:r>
    </w:p>
    <w:p w:rsidR="001C6C98" w:rsidRPr="001C6C98" w:rsidRDefault="001C6C98" w:rsidP="001C6C98">
      <w:pPr>
        <w:jc w:val="both"/>
        <w:rPr>
          <w:rFonts w:ascii="Arial" w:hAnsi="Arial" w:cs="Arial"/>
          <w:sz w:val="22"/>
          <w:szCs w:val="22"/>
        </w:rPr>
      </w:pPr>
    </w:p>
    <w:p w:rsidR="001C6C98" w:rsidRPr="001C6C98" w:rsidRDefault="001C6C98" w:rsidP="001C6C98">
      <w:pPr>
        <w:jc w:val="both"/>
        <w:rPr>
          <w:rFonts w:ascii="Arial" w:hAnsi="Arial" w:cs="Arial"/>
          <w:sz w:val="22"/>
          <w:szCs w:val="22"/>
        </w:rPr>
      </w:pPr>
      <w:r w:rsidRPr="001C6C98">
        <w:rPr>
          <w:rFonts w:ascii="Arial" w:hAnsi="Arial" w:cs="Arial"/>
          <w:sz w:val="22"/>
          <w:szCs w:val="22"/>
        </w:rPr>
        <w:t>Les articles 5 et 6 fixent les modalités d’envoi des pièces de procédure et de transmission des demandes d’entraide.</w:t>
      </w:r>
    </w:p>
    <w:p w:rsidR="001C6C98" w:rsidRPr="001C6C98" w:rsidRDefault="001C6C98" w:rsidP="001C6C98">
      <w:pPr>
        <w:jc w:val="both"/>
        <w:rPr>
          <w:rFonts w:ascii="Arial" w:hAnsi="Arial" w:cs="Arial"/>
          <w:sz w:val="22"/>
          <w:szCs w:val="22"/>
        </w:rPr>
      </w:pPr>
    </w:p>
    <w:p w:rsidR="001C6C98" w:rsidRPr="001C6C98" w:rsidRDefault="001C6C98" w:rsidP="001C6C98">
      <w:pPr>
        <w:jc w:val="both"/>
        <w:rPr>
          <w:rFonts w:ascii="Arial" w:hAnsi="Arial" w:cs="Arial"/>
          <w:sz w:val="22"/>
          <w:szCs w:val="22"/>
        </w:rPr>
      </w:pPr>
      <w:r w:rsidRPr="001C6C98">
        <w:rPr>
          <w:rFonts w:ascii="Arial" w:hAnsi="Arial" w:cs="Arial"/>
          <w:sz w:val="22"/>
          <w:szCs w:val="22"/>
        </w:rPr>
        <w:t>L’article 7 permet des échanges spontanés d’informations qui permettent, en l’absence d’une quelconque demande d’entraide, d’échanger notamment des informations relatives à des faits pénalement punissables.</w:t>
      </w:r>
    </w:p>
    <w:p w:rsidR="001C6C98" w:rsidRPr="001C6C98" w:rsidRDefault="001C6C98" w:rsidP="001C6C98">
      <w:pPr>
        <w:jc w:val="both"/>
        <w:rPr>
          <w:rFonts w:ascii="Arial" w:hAnsi="Arial" w:cs="Arial"/>
          <w:sz w:val="22"/>
          <w:szCs w:val="22"/>
        </w:rPr>
      </w:pPr>
    </w:p>
    <w:p w:rsidR="001C6C98" w:rsidRPr="001C6C98" w:rsidRDefault="001C6C98" w:rsidP="001C6C98">
      <w:pPr>
        <w:jc w:val="both"/>
        <w:rPr>
          <w:rFonts w:ascii="Arial" w:hAnsi="Arial" w:cs="Arial"/>
          <w:sz w:val="22"/>
          <w:szCs w:val="22"/>
        </w:rPr>
      </w:pPr>
      <w:r w:rsidRPr="001C6C98">
        <w:rPr>
          <w:rFonts w:ascii="Arial" w:hAnsi="Arial" w:cs="Arial"/>
          <w:sz w:val="22"/>
          <w:szCs w:val="22"/>
        </w:rPr>
        <w:t xml:space="preserve">L’article 8 permet à l’Etat requérant de demander à l’Etat requis de lui restituer des objets obtenus par des moyens illicites afin de les restituer à leur propriétaire légitime. Cette disposition n’affecte cependant pas les droits des tiers de bonne foi. </w:t>
      </w:r>
    </w:p>
    <w:p w:rsidR="001C6C98" w:rsidRPr="001C6C98" w:rsidRDefault="001C6C98" w:rsidP="001C6C98">
      <w:pPr>
        <w:jc w:val="both"/>
        <w:rPr>
          <w:rFonts w:ascii="Arial" w:hAnsi="Arial" w:cs="Arial"/>
          <w:sz w:val="22"/>
          <w:szCs w:val="22"/>
        </w:rPr>
      </w:pPr>
    </w:p>
    <w:p w:rsidR="001C6C98" w:rsidRPr="001C6C98" w:rsidRDefault="001C6C98" w:rsidP="001C6C98">
      <w:pPr>
        <w:jc w:val="both"/>
        <w:rPr>
          <w:rFonts w:ascii="Arial" w:hAnsi="Arial" w:cs="Arial"/>
          <w:sz w:val="22"/>
          <w:szCs w:val="22"/>
        </w:rPr>
      </w:pPr>
      <w:r w:rsidRPr="001C6C98">
        <w:rPr>
          <w:rFonts w:ascii="Arial" w:hAnsi="Arial" w:cs="Arial"/>
          <w:sz w:val="22"/>
          <w:szCs w:val="22"/>
        </w:rPr>
        <w:t xml:space="preserve">Enfin l’article 9 permet de transférer un détenu sur le territoire de l’Etat membre qui a requis une mesure d’instruction qui nécessite la présence de la personne détenue. </w:t>
      </w:r>
    </w:p>
    <w:p w:rsidR="001C6C98" w:rsidRPr="001C6C98" w:rsidRDefault="001C6C98" w:rsidP="001C6C98">
      <w:pPr>
        <w:jc w:val="both"/>
        <w:rPr>
          <w:rFonts w:ascii="Arial" w:hAnsi="Arial" w:cs="Arial"/>
          <w:sz w:val="22"/>
          <w:szCs w:val="22"/>
        </w:rPr>
      </w:pPr>
    </w:p>
    <w:p w:rsidR="001C6C98" w:rsidRPr="001C6C98" w:rsidRDefault="001C6C98" w:rsidP="001C6C98">
      <w:pPr>
        <w:jc w:val="both"/>
        <w:rPr>
          <w:rFonts w:ascii="Arial" w:hAnsi="Arial" w:cs="Arial"/>
          <w:sz w:val="22"/>
          <w:szCs w:val="22"/>
        </w:rPr>
      </w:pPr>
      <w:r w:rsidRPr="001C6C98">
        <w:rPr>
          <w:rFonts w:ascii="Arial" w:hAnsi="Arial" w:cs="Arial"/>
          <w:sz w:val="22"/>
          <w:szCs w:val="22"/>
        </w:rPr>
        <w:t>La Convention de 2000 prévoit également d’autres mesures comme : l’audition de témoins par vidéoconférence (article 10) ; l’audition de témoins et d’experts par téléconférence (article 11) ; les livraisons surveillées (« la procédure de livraison surveillée… consiste, moyennant un contrôle policier permanent, dans la non-interception de transport de substances illégales dans le but d'intervenir à la destination finale ou à un point de contrôle convenu…»</w:t>
      </w:r>
      <w:r w:rsidRPr="001C6C98">
        <w:rPr>
          <w:rStyle w:val="Appelnotedebasdep"/>
          <w:rFonts w:ascii="Arial" w:hAnsi="Arial" w:cs="Arial"/>
          <w:sz w:val="22"/>
          <w:szCs w:val="22"/>
        </w:rPr>
        <w:footnoteReference w:id="6"/>
      </w:r>
      <w:r w:rsidRPr="001C6C98">
        <w:rPr>
          <w:rFonts w:ascii="Arial" w:hAnsi="Arial" w:cs="Arial"/>
          <w:sz w:val="22"/>
          <w:szCs w:val="22"/>
        </w:rPr>
        <w:t>) dans le cadre d’enquêtes pénales pouvant donner lieu à extradition (article 12) ; la création, d’un commun accord, d’équipes communes d’enquête pouvant effectuer des enquêtes pénales dans un ou plusieurs Etats membres ; des enquêtes secrètes (article 14) ; l’interception des télécommunications (articles 17 à22).</w:t>
      </w:r>
    </w:p>
    <w:p w:rsidR="001C6C98" w:rsidRPr="001C6C98" w:rsidRDefault="001C6C98" w:rsidP="001C6C98">
      <w:pPr>
        <w:jc w:val="both"/>
        <w:rPr>
          <w:rFonts w:ascii="Arial" w:hAnsi="Arial" w:cs="Arial"/>
          <w:sz w:val="22"/>
          <w:szCs w:val="22"/>
        </w:rPr>
      </w:pPr>
    </w:p>
    <w:p w:rsidR="001C6C98" w:rsidRPr="001C6C98" w:rsidRDefault="001C6C98" w:rsidP="001C6C98">
      <w:pPr>
        <w:jc w:val="both"/>
        <w:rPr>
          <w:rFonts w:ascii="Arial" w:hAnsi="Arial" w:cs="Arial"/>
          <w:sz w:val="22"/>
          <w:szCs w:val="22"/>
        </w:rPr>
      </w:pPr>
    </w:p>
    <w:p w:rsidR="001C6C98" w:rsidRPr="001C6C98" w:rsidRDefault="001C6C98" w:rsidP="001C6C98">
      <w:pPr>
        <w:jc w:val="center"/>
        <w:rPr>
          <w:rFonts w:ascii="Arial" w:hAnsi="Arial" w:cs="Arial"/>
          <w:b/>
          <w:sz w:val="22"/>
          <w:szCs w:val="22"/>
        </w:rPr>
      </w:pPr>
      <w:r w:rsidRPr="001C6C98">
        <w:rPr>
          <w:rFonts w:ascii="Arial" w:hAnsi="Arial" w:cs="Arial"/>
          <w:b/>
          <w:sz w:val="22"/>
          <w:szCs w:val="22"/>
        </w:rPr>
        <w:t>3. Le Protocole de 2001</w:t>
      </w:r>
    </w:p>
    <w:p w:rsidR="001C6C98" w:rsidRPr="001C6C98" w:rsidRDefault="001C6C98" w:rsidP="001C6C98">
      <w:pPr>
        <w:jc w:val="both"/>
        <w:rPr>
          <w:rFonts w:ascii="Arial" w:hAnsi="Arial" w:cs="Arial"/>
          <w:sz w:val="22"/>
          <w:szCs w:val="22"/>
        </w:rPr>
      </w:pPr>
    </w:p>
    <w:p w:rsidR="001C6C98" w:rsidRPr="001C6C98" w:rsidRDefault="001C6C98" w:rsidP="001C6C98">
      <w:pPr>
        <w:jc w:val="both"/>
        <w:rPr>
          <w:rFonts w:ascii="Arial" w:hAnsi="Arial" w:cs="Arial"/>
          <w:sz w:val="22"/>
          <w:szCs w:val="22"/>
        </w:rPr>
      </w:pPr>
      <w:r w:rsidRPr="001C6C98">
        <w:rPr>
          <w:rFonts w:ascii="Arial" w:hAnsi="Arial" w:cs="Arial"/>
          <w:sz w:val="22"/>
          <w:szCs w:val="22"/>
        </w:rPr>
        <w:t xml:space="preserve">Le présent projet de loi a également pour objet d’approuver le Protocole de 2001 adopté à la suite du Conseil européen de Tampere de 2001. Il poursuit l’objectif de renforcer le dispositif d’entraide judiciaire en matière pénale  afin de lutter contre la criminalité, et en particulier contre la criminalité organisée, le blanchiment d’argent et la criminalité financière. </w:t>
      </w:r>
    </w:p>
    <w:p w:rsidR="001C6C98" w:rsidRPr="001C6C98" w:rsidRDefault="001C6C98" w:rsidP="001C6C98">
      <w:pPr>
        <w:jc w:val="both"/>
        <w:rPr>
          <w:rFonts w:ascii="Arial" w:hAnsi="Arial" w:cs="Arial"/>
          <w:sz w:val="22"/>
          <w:szCs w:val="22"/>
        </w:rPr>
      </w:pPr>
      <w:r w:rsidRPr="001C6C98">
        <w:rPr>
          <w:rFonts w:ascii="Arial" w:hAnsi="Arial" w:cs="Arial"/>
          <w:sz w:val="22"/>
          <w:szCs w:val="22"/>
        </w:rPr>
        <w:t>Les dispositions du Protocole de 2001 peuvent être divisées en trois parties distinctes: l'entraide en matière de comptes bancaires (articles 1</w:t>
      </w:r>
      <w:r w:rsidRPr="001C6C98">
        <w:rPr>
          <w:rFonts w:ascii="Arial" w:hAnsi="Arial" w:cs="Arial"/>
          <w:sz w:val="22"/>
          <w:szCs w:val="22"/>
          <w:vertAlign w:val="superscript"/>
        </w:rPr>
        <w:t>er</w:t>
      </w:r>
      <w:r w:rsidRPr="001C6C98">
        <w:rPr>
          <w:rFonts w:ascii="Arial" w:hAnsi="Arial" w:cs="Arial"/>
          <w:sz w:val="22"/>
          <w:szCs w:val="22"/>
        </w:rPr>
        <w:t xml:space="preserve">  à 4), les demandes complémentaires (articles 5 et 6) et les motifs de rejet (articles 7 à 10)</w:t>
      </w:r>
      <w:r w:rsidRPr="001C6C98">
        <w:rPr>
          <w:rStyle w:val="Appelnotedebasdep"/>
          <w:rFonts w:ascii="Arial" w:hAnsi="Arial" w:cs="Arial"/>
          <w:sz w:val="22"/>
          <w:szCs w:val="22"/>
        </w:rPr>
        <w:footnoteReference w:id="7"/>
      </w:r>
      <w:r w:rsidRPr="001C6C98">
        <w:rPr>
          <w:rFonts w:ascii="Arial" w:hAnsi="Arial" w:cs="Arial"/>
          <w:sz w:val="22"/>
          <w:szCs w:val="22"/>
        </w:rPr>
        <w:t>.</w:t>
      </w:r>
    </w:p>
    <w:p w:rsidR="001C6C98" w:rsidRPr="001C6C98" w:rsidRDefault="001C6C98" w:rsidP="001C6C98">
      <w:pPr>
        <w:jc w:val="both"/>
        <w:rPr>
          <w:rFonts w:ascii="Arial" w:hAnsi="Arial" w:cs="Arial"/>
          <w:sz w:val="22"/>
          <w:szCs w:val="22"/>
        </w:rPr>
      </w:pPr>
    </w:p>
    <w:p w:rsidR="001C6C98" w:rsidRPr="001C6C98" w:rsidRDefault="001C6C98" w:rsidP="001C6C98">
      <w:pPr>
        <w:jc w:val="both"/>
        <w:rPr>
          <w:rFonts w:ascii="Arial" w:hAnsi="Arial" w:cs="Arial"/>
          <w:sz w:val="22"/>
          <w:szCs w:val="22"/>
        </w:rPr>
      </w:pPr>
      <w:r w:rsidRPr="001C6C98">
        <w:rPr>
          <w:rFonts w:ascii="Arial" w:hAnsi="Arial" w:cs="Arial"/>
          <w:sz w:val="22"/>
          <w:szCs w:val="22"/>
        </w:rPr>
        <w:t>Les articles 1 à 4 du Protocole de 2001 comportent des dispositions qui ont pour but d'améliorer l'entraide en ce qui concerne les informations détenues par les banques. L'article 1</w:t>
      </w:r>
      <w:r w:rsidRPr="001C6C98">
        <w:rPr>
          <w:rFonts w:ascii="Arial" w:hAnsi="Arial" w:cs="Arial"/>
          <w:sz w:val="22"/>
          <w:szCs w:val="22"/>
          <w:vertAlign w:val="superscript"/>
        </w:rPr>
        <w:t>er</w:t>
      </w:r>
      <w:r w:rsidRPr="001C6C98">
        <w:rPr>
          <w:rFonts w:ascii="Arial" w:hAnsi="Arial" w:cs="Arial"/>
          <w:sz w:val="22"/>
          <w:szCs w:val="22"/>
        </w:rPr>
        <w:t xml:space="preserve"> peut être appliqué afin de se procurer des informations sur des comptes bancaires dans les cas où l'État requérant considère que ces informations sont susceptibles de présenter un intérêt fondamental pour une enquête en cours. A cette fin le projet de loi introduit un nouvel article 66-2 dans le Code d’instruction criminelle conformément auquel les établissements de crédit nommément désignés doivent informer le juge d’instruction si une personne déterminée y détient, contrôle ou a procuration sur un compte. L’article 66-2 détermine également les conditions de fond qui doivent être réunies afin que le juge d’instruction puisse ordonner une telle mesure. Ces conditions de fond sont inspirées de l’article 88-1 du Code d’instruction criminelle applicable aux mesures spéciales d’investigation.</w:t>
      </w:r>
    </w:p>
    <w:p w:rsidR="001C6C98" w:rsidRPr="001C6C98" w:rsidRDefault="001C6C98" w:rsidP="001C6C98">
      <w:pPr>
        <w:jc w:val="both"/>
        <w:rPr>
          <w:rFonts w:ascii="Arial" w:hAnsi="Arial" w:cs="Arial"/>
          <w:sz w:val="22"/>
          <w:szCs w:val="22"/>
        </w:rPr>
      </w:pPr>
    </w:p>
    <w:p w:rsidR="001C6C98" w:rsidRPr="001C6C98" w:rsidRDefault="001C6C98" w:rsidP="001C6C98">
      <w:pPr>
        <w:jc w:val="both"/>
        <w:rPr>
          <w:rFonts w:ascii="Arial" w:hAnsi="Arial" w:cs="Arial"/>
          <w:sz w:val="22"/>
          <w:szCs w:val="22"/>
        </w:rPr>
      </w:pPr>
      <w:r w:rsidRPr="001C6C98">
        <w:rPr>
          <w:rFonts w:ascii="Arial" w:hAnsi="Arial" w:cs="Arial"/>
          <w:sz w:val="22"/>
          <w:szCs w:val="22"/>
        </w:rPr>
        <w:t>L'article 2 contient des dispositions relatives à l'entraide en vue d'obtenir des renseignements concernant des opérations réalisées pendant une période déterminée sur un compte bancaire spécifié.</w:t>
      </w:r>
    </w:p>
    <w:p w:rsidR="001C6C98" w:rsidRPr="001C6C98" w:rsidRDefault="001C6C98" w:rsidP="001C6C98">
      <w:pPr>
        <w:jc w:val="both"/>
        <w:rPr>
          <w:rFonts w:ascii="Arial" w:hAnsi="Arial" w:cs="Arial"/>
          <w:sz w:val="22"/>
          <w:szCs w:val="22"/>
        </w:rPr>
      </w:pPr>
    </w:p>
    <w:p w:rsidR="001C6C98" w:rsidRPr="001C6C98" w:rsidRDefault="001C6C98" w:rsidP="001C6C98">
      <w:pPr>
        <w:jc w:val="both"/>
        <w:rPr>
          <w:rFonts w:ascii="Arial" w:hAnsi="Arial" w:cs="Arial"/>
          <w:sz w:val="22"/>
          <w:szCs w:val="22"/>
        </w:rPr>
      </w:pPr>
      <w:r w:rsidRPr="001C6C98">
        <w:rPr>
          <w:rFonts w:ascii="Arial" w:hAnsi="Arial" w:cs="Arial"/>
          <w:sz w:val="22"/>
          <w:szCs w:val="22"/>
        </w:rPr>
        <w:t xml:space="preserve">Les dispositions de l'article 3 portent, quant à elles, sur l'entraide en matière de suivi d'opérations qui pourraient, à l'avenir, être réalisées sur un compte bancaire spécifié. Cette disposition est nouvelle et elle se distingue des autres dans la mesure où les Etats membres sont invités à mettre en place un mécanisme permettant de fournir une assistance sur demande tout en laissant aux Etats membres le soin de décider au cas par cas s’il y a lieu de fournir cette assistance et les conditions qui lui sont applicables. Le projet de loi prévoit à cette fin d’insérer un nouvel article 66-3 dans le Code d’instruction criminelle qui enjoint aux établissements de crédit d’effectuer pendant une période d’un mois le suivi des transactions bancaires qui seront réalisées sur un compte bancaire déterminé spécifié par l’ordonnance du juge d’instruction. Là encore, les conditions de fond sont inspirées de l’article 88-1 du Code d’instruction criminelle. </w:t>
      </w:r>
    </w:p>
    <w:p w:rsidR="001C6C98" w:rsidRPr="001C6C98" w:rsidRDefault="001C6C98" w:rsidP="001C6C98">
      <w:pPr>
        <w:jc w:val="both"/>
        <w:rPr>
          <w:rFonts w:ascii="Arial" w:hAnsi="Arial" w:cs="Arial"/>
          <w:sz w:val="22"/>
          <w:szCs w:val="22"/>
        </w:rPr>
      </w:pPr>
    </w:p>
    <w:p w:rsidR="001C6C98" w:rsidRPr="001C6C98" w:rsidRDefault="001C6C98" w:rsidP="001C6C98">
      <w:pPr>
        <w:jc w:val="both"/>
        <w:rPr>
          <w:rFonts w:ascii="Arial" w:hAnsi="Arial" w:cs="Arial"/>
          <w:sz w:val="22"/>
          <w:szCs w:val="22"/>
        </w:rPr>
      </w:pPr>
      <w:r w:rsidRPr="001C6C98">
        <w:rPr>
          <w:rFonts w:ascii="Arial" w:hAnsi="Arial" w:cs="Arial"/>
          <w:sz w:val="22"/>
          <w:szCs w:val="22"/>
        </w:rPr>
        <w:t>Enfin, l'article 4 du Protocole de 2001 inclut une clause de confidentialité visant à garantir que toute entraide fournie conformément aux articles 1</w:t>
      </w:r>
      <w:r w:rsidRPr="001C6C98">
        <w:rPr>
          <w:rFonts w:ascii="Arial" w:hAnsi="Arial" w:cs="Arial"/>
          <w:sz w:val="22"/>
          <w:szCs w:val="22"/>
          <w:vertAlign w:val="superscript"/>
        </w:rPr>
        <w:t>er</w:t>
      </w:r>
      <w:r w:rsidRPr="001C6C98">
        <w:rPr>
          <w:rFonts w:ascii="Arial" w:hAnsi="Arial" w:cs="Arial"/>
          <w:sz w:val="22"/>
          <w:szCs w:val="22"/>
        </w:rPr>
        <w:t xml:space="preserve"> à 3 du Protocole de 2001 n'est pas portée à la connaissance du titulaire du compte bancaire ni à celle de tiers.</w:t>
      </w:r>
    </w:p>
    <w:p w:rsidR="001C6C98" w:rsidRPr="001C6C98" w:rsidRDefault="001C6C98" w:rsidP="001C6C98">
      <w:pPr>
        <w:jc w:val="both"/>
        <w:rPr>
          <w:rFonts w:ascii="Arial" w:hAnsi="Arial" w:cs="Arial"/>
          <w:sz w:val="22"/>
          <w:szCs w:val="22"/>
        </w:rPr>
      </w:pPr>
    </w:p>
    <w:p w:rsidR="006C0DA4" w:rsidRPr="001C6C98" w:rsidRDefault="006C0DA4" w:rsidP="006C0DA4">
      <w:pPr>
        <w:jc w:val="both"/>
        <w:rPr>
          <w:rFonts w:ascii="Arial" w:hAnsi="Arial" w:cs="Arial"/>
          <w:sz w:val="22"/>
          <w:szCs w:val="22"/>
        </w:rPr>
      </w:pPr>
    </w:p>
    <w:sectPr w:rsidR="006C0DA4" w:rsidRPr="001C6C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2C0" w:rsidRDefault="00AB62C0" w:rsidP="003332DC">
      <w:r>
        <w:separator/>
      </w:r>
    </w:p>
  </w:endnote>
  <w:endnote w:type="continuationSeparator" w:id="0">
    <w:p w:rsidR="00AB62C0" w:rsidRDefault="00AB62C0"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2C0" w:rsidRDefault="00AB62C0" w:rsidP="003332DC">
      <w:r>
        <w:separator/>
      </w:r>
    </w:p>
  </w:footnote>
  <w:footnote w:type="continuationSeparator" w:id="0">
    <w:p w:rsidR="00AB62C0" w:rsidRDefault="00AB62C0" w:rsidP="003332DC">
      <w:r>
        <w:continuationSeparator/>
      </w:r>
    </w:p>
  </w:footnote>
  <w:footnote w:id="1">
    <w:p w:rsidR="001C6C98" w:rsidRDefault="001C6C98" w:rsidP="001C6C98">
      <w:pPr>
        <w:pStyle w:val="Notedebasdepage"/>
        <w:jc w:val="both"/>
      </w:pPr>
      <w:r w:rsidRPr="00225710">
        <w:rPr>
          <w:rStyle w:val="Appelnotedebasdep"/>
          <w:rFonts w:cs="Arial"/>
        </w:rPr>
        <w:footnoteRef/>
      </w:r>
      <w:r w:rsidRPr="00225710">
        <w:rPr>
          <w:rFonts w:cs="Arial"/>
        </w:rPr>
        <w:t xml:space="preserve"> </w:t>
      </w:r>
      <w:r w:rsidRPr="00225710">
        <w:rPr>
          <w:rFonts w:cs="Arial"/>
          <w:lang w:val="fr-CH"/>
        </w:rPr>
        <w:t xml:space="preserve">Selon Denys Simon les conventions conclues dans le cadre du troisième pilier de l‘Union européenne « …n’appartiennent pas au droit communautaire </w:t>
      </w:r>
      <w:r w:rsidRPr="00225710">
        <w:rPr>
          <w:rFonts w:cs="Arial"/>
          <w:i/>
          <w:lang w:val="fr-CH"/>
        </w:rPr>
        <w:t xml:space="preserve">stricto sensu </w:t>
      </w:r>
      <w:r w:rsidRPr="00225710">
        <w:rPr>
          <w:rFonts w:cs="Arial"/>
          <w:lang w:val="fr-CH"/>
        </w:rPr>
        <w:t xml:space="preserve">et relèvent du droit international conventionnel, dans la mesure où elles sont conclues par les Etats membres, font l’objet des procédures classiques de ratification, échappent à la compétence de </w:t>
      </w:r>
      <w:smartTag w:uri="urn:schemas-microsoft-com:office:smarttags" w:element="PersonName">
        <w:smartTagPr>
          <w:attr w:name="ProductID" w:val="la Cour"/>
        </w:smartTagPr>
        <w:r w:rsidRPr="00225710">
          <w:rPr>
            <w:rFonts w:cs="Arial"/>
            <w:lang w:val="fr-CH"/>
          </w:rPr>
          <w:t>la Cour</w:t>
        </w:r>
      </w:smartTag>
      <w:r w:rsidRPr="00225710">
        <w:rPr>
          <w:rFonts w:cs="Arial"/>
          <w:lang w:val="fr-CH"/>
        </w:rPr>
        <w:t xml:space="preserve"> de justice, et ne s’imposent pas aux Etats membres adhérents au titre de l’acquis communautaire… », Denys SIMON, Le système juridique communautaire, 3</w:t>
      </w:r>
      <w:r w:rsidRPr="00225710">
        <w:rPr>
          <w:rFonts w:cs="Arial"/>
          <w:vertAlign w:val="superscript"/>
          <w:lang w:val="fr-CH"/>
        </w:rPr>
        <w:t>e</w:t>
      </w:r>
      <w:r w:rsidRPr="00225710">
        <w:rPr>
          <w:rFonts w:cs="Arial"/>
          <w:lang w:val="fr-CH"/>
        </w:rPr>
        <w:t xml:space="preserve"> édition mis</w:t>
      </w:r>
      <w:r>
        <w:rPr>
          <w:rFonts w:cs="Arial"/>
          <w:lang w:val="fr-CH"/>
        </w:rPr>
        <w:t>e</w:t>
      </w:r>
      <w:r w:rsidRPr="00225710">
        <w:rPr>
          <w:rFonts w:cs="Arial"/>
          <w:lang w:val="fr-CH"/>
        </w:rPr>
        <w:t xml:space="preserve"> à jour, PUF, 2001, pages 343-344.</w:t>
      </w:r>
    </w:p>
  </w:footnote>
  <w:footnote w:id="2">
    <w:p w:rsidR="001C6C98" w:rsidRPr="00225710" w:rsidRDefault="001C6C98" w:rsidP="001C6C98">
      <w:pPr>
        <w:pStyle w:val="Notedebasdepage"/>
        <w:jc w:val="both"/>
        <w:rPr>
          <w:rFonts w:cs="Arial"/>
        </w:rPr>
      </w:pPr>
      <w:r w:rsidRPr="00225710">
        <w:rPr>
          <w:rStyle w:val="Appelnotedebasdep"/>
          <w:rFonts w:cs="Arial"/>
        </w:rPr>
        <w:footnoteRef/>
      </w:r>
      <w:r w:rsidRPr="00225710">
        <w:rPr>
          <w:rFonts w:cs="Arial"/>
        </w:rPr>
        <w:t xml:space="preserve"> « Le Traité de Lisbonne prévoit le passage de l'unanimité à la majorité qualifiée au Conseil et à la codécision avec le Parlement Européen pour la plupart de ces questions, à l'exception de la coopération policière opérationnelle et de la décision de créer un Parquet européen et d'en étendre les prérogatives.</w:t>
      </w:r>
    </w:p>
    <w:p w:rsidR="001C6C98" w:rsidRDefault="001C6C98" w:rsidP="001C6C98">
      <w:pPr>
        <w:pStyle w:val="Notedebasdepage"/>
        <w:jc w:val="both"/>
      </w:pPr>
      <w:r w:rsidRPr="00225710">
        <w:rPr>
          <w:rFonts w:cs="Arial"/>
        </w:rPr>
        <w:t xml:space="preserve">Toutefois, pour tenir compte des réticences de certains Etats, notamment le Royaume-Uni, une « clause de frein » a été insérée permettant à un Etat membre qui estime qu'un projet « porte atteinte aux aspects fondamentaux de son système de justice pénale » de saisir le Conseil Européen. Dans ce cas, ce dernier peut décider (par consensus), dans un délai de quatre mois, soit de renvoyer le projet au Conseil des Ministres, soit de suspendre la procédure. » ; Source : </w:t>
      </w:r>
      <w:hyperlink r:id="rId1" w:history="1">
        <w:r w:rsidRPr="00225710">
          <w:rPr>
            <w:rStyle w:val="Lienhypertexte"/>
            <w:rFonts w:cs="Arial"/>
          </w:rPr>
          <w:t>http://www.senat.fr/rap/r07-188/r07-1884.html</w:t>
        </w:r>
      </w:hyperlink>
      <w:r w:rsidRPr="00225710">
        <w:rPr>
          <w:rFonts w:cs="Arial"/>
        </w:rPr>
        <w:t xml:space="preserve"> .</w:t>
      </w:r>
    </w:p>
  </w:footnote>
  <w:footnote w:id="3">
    <w:p w:rsidR="001C6C98" w:rsidRDefault="001C6C98" w:rsidP="001C6C98">
      <w:pPr>
        <w:pStyle w:val="Notedebasdepage"/>
        <w:jc w:val="both"/>
      </w:pPr>
      <w:r w:rsidRPr="00225710">
        <w:rPr>
          <w:rStyle w:val="Appelnotedebasdep"/>
          <w:rFonts w:cs="Arial"/>
        </w:rPr>
        <w:footnoteRef/>
      </w:r>
      <w:r w:rsidRPr="00225710">
        <w:rPr>
          <w:rFonts w:cs="Arial"/>
        </w:rPr>
        <w:t xml:space="preserve"> </w:t>
      </w:r>
      <w:r w:rsidRPr="00225710">
        <w:rPr>
          <w:rFonts w:cs="Arial"/>
          <w:lang w:val="fr-CH"/>
        </w:rPr>
        <w:t xml:space="preserve">C’est nous qui soulignons. </w:t>
      </w:r>
    </w:p>
  </w:footnote>
  <w:footnote w:id="4">
    <w:p w:rsidR="001C6C98" w:rsidRDefault="001C6C98" w:rsidP="001C6C98">
      <w:pPr>
        <w:pStyle w:val="Notedebasdepage"/>
        <w:jc w:val="both"/>
      </w:pPr>
      <w:r w:rsidRPr="00225710">
        <w:rPr>
          <w:rStyle w:val="Appelnotedebasdep"/>
          <w:rFonts w:cs="Arial"/>
        </w:rPr>
        <w:footnoteRef/>
      </w:r>
      <w:r w:rsidRPr="00225710">
        <w:rPr>
          <w:rFonts w:cs="Arial"/>
        </w:rPr>
        <w:t xml:space="preserve"> Rapport explicatif concernant la convention du 29 mai 2000 relative à l’entraide judiciaire en matière pénale entre les États membres de l’Union européenne (ci-après</w:t>
      </w:r>
      <w:r>
        <w:rPr>
          <w:rFonts w:cs="Arial"/>
        </w:rPr>
        <w:t>,</w:t>
      </w:r>
      <w:r w:rsidRPr="00225710">
        <w:rPr>
          <w:rFonts w:cs="Arial"/>
        </w:rPr>
        <w:t xml:space="preserve"> le rapport explicatif de </w:t>
      </w:r>
      <w:smartTag w:uri="urn:schemas-microsoft-com:office:smarttags" w:element="PersonName">
        <w:smartTagPr>
          <w:attr w:name="ProductID" w:val="la Convention"/>
        </w:smartTagPr>
        <w:r w:rsidRPr="00225710">
          <w:rPr>
            <w:rFonts w:cs="Arial"/>
          </w:rPr>
          <w:t>la Convention</w:t>
        </w:r>
      </w:smartTag>
      <w:r w:rsidRPr="00225710">
        <w:rPr>
          <w:rFonts w:cs="Arial"/>
        </w:rPr>
        <w:t xml:space="preserve">), Texte approuvé par le Conseil le 30 novembre 2000,  J O 2000/C 379/02, page 2. </w:t>
      </w:r>
    </w:p>
  </w:footnote>
  <w:footnote w:id="5">
    <w:p w:rsidR="001C6C98" w:rsidRDefault="001C6C98" w:rsidP="001C6C98">
      <w:pPr>
        <w:pStyle w:val="Notedebasdepage"/>
        <w:jc w:val="both"/>
      </w:pPr>
      <w:r w:rsidRPr="00225710">
        <w:rPr>
          <w:rStyle w:val="Appelnotedebasdep"/>
          <w:rFonts w:cs="Arial"/>
        </w:rPr>
        <w:footnoteRef/>
      </w:r>
      <w:r w:rsidRPr="00225710">
        <w:rPr>
          <w:rFonts w:cs="Arial"/>
        </w:rPr>
        <w:t xml:space="preserve"> Conformément au rapport explicatif de </w:t>
      </w:r>
      <w:smartTag w:uri="urn:schemas-microsoft-com:office:smarttags" w:element="PersonName">
        <w:smartTagPr>
          <w:attr w:name="ProductID" w:val="la Convention"/>
        </w:smartTagPr>
        <w:r w:rsidRPr="00225710">
          <w:rPr>
            <w:rFonts w:cs="Arial"/>
          </w:rPr>
          <w:t>la Convention</w:t>
        </w:r>
      </w:smartTag>
      <w:r w:rsidRPr="00225710">
        <w:rPr>
          <w:rFonts w:cs="Arial"/>
        </w:rPr>
        <w:t> : « Au titre de cette disposition, il est possible de demander  l’entraide judiciaire dans certains types de cas qui ne sont pas prévus ou qui sont seulement prévus de manière limitée</w:t>
      </w:r>
      <w:r>
        <w:rPr>
          <w:rFonts w:cs="Arial"/>
        </w:rPr>
        <w:t xml:space="preserve"> par la</w:t>
      </w:r>
      <w:r w:rsidRPr="00225710">
        <w:rPr>
          <w:rFonts w:cs="Arial"/>
        </w:rPr>
        <w:t xml:space="preserve"> convention de 1959, laquelle ne s’applique qu’aux procédures judiciaires par opposition aux procédures administratives. Par exemple, l’«</w:t>
      </w:r>
      <w:r w:rsidRPr="00225710">
        <w:rPr>
          <w:rFonts w:cs="Arial"/>
          <w:i/>
        </w:rPr>
        <w:t>Ordnungswidrigkeit</w:t>
      </w:r>
      <w:r w:rsidRPr="00225710">
        <w:rPr>
          <w:rFonts w:cs="Arial"/>
        </w:rPr>
        <w:t xml:space="preserve">» du droit allemand est une infraction qui n’est pas érigée en infraction pénale et qui est  passible d’une amende infligée par les autorités administratives. », page 10. </w:t>
      </w:r>
    </w:p>
  </w:footnote>
  <w:footnote w:id="6">
    <w:p w:rsidR="001C6C98" w:rsidRDefault="001C6C98" w:rsidP="001C6C98">
      <w:pPr>
        <w:pStyle w:val="Notedebasdepage"/>
        <w:jc w:val="both"/>
        <w:rPr>
          <w:rFonts w:cs="Arial"/>
        </w:rPr>
      </w:pPr>
      <w:r w:rsidRPr="00225710">
        <w:rPr>
          <w:rStyle w:val="Appelnotedebasdep"/>
          <w:rFonts w:cs="Arial"/>
        </w:rPr>
        <w:footnoteRef/>
      </w:r>
      <w:r w:rsidRPr="00225710">
        <w:rPr>
          <w:rFonts w:cs="Arial"/>
        </w:rPr>
        <w:t xml:space="preserve">Parlement européen, La Coopération policière ; </w:t>
      </w:r>
    </w:p>
    <w:p w:rsidR="001C6C98" w:rsidRDefault="001C6C98" w:rsidP="001C6C98">
      <w:pPr>
        <w:pStyle w:val="Notedebasdepage"/>
        <w:jc w:val="both"/>
      </w:pPr>
      <w:hyperlink r:id="rId2" w:history="1">
        <w:r w:rsidRPr="00225710">
          <w:rPr>
            <w:rStyle w:val="Lienhypertexte"/>
            <w:rFonts w:cs="Arial"/>
          </w:rPr>
          <w:t>http://www.europarl.europa.eu/comparl/libe/elsj/zoom_in/19_fr.htm</w:t>
        </w:r>
      </w:hyperlink>
      <w:r w:rsidRPr="00225710">
        <w:rPr>
          <w:rFonts w:cs="Arial"/>
        </w:rPr>
        <w:t xml:space="preserve"> .</w:t>
      </w:r>
    </w:p>
  </w:footnote>
  <w:footnote w:id="7">
    <w:p w:rsidR="001C6C98" w:rsidRDefault="001C6C98" w:rsidP="001C6C98">
      <w:pPr>
        <w:pStyle w:val="Notedebasdepage"/>
        <w:jc w:val="both"/>
      </w:pPr>
      <w:r w:rsidRPr="00225710">
        <w:rPr>
          <w:rStyle w:val="Appelnotedebasdep"/>
          <w:rFonts w:cs="Arial"/>
        </w:rPr>
        <w:footnoteRef/>
      </w:r>
      <w:r w:rsidRPr="00225710">
        <w:rPr>
          <w:rFonts w:cs="Arial"/>
        </w:rPr>
        <w:t xml:space="preserve"> </w:t>
      </w:r>
      <w:r w:rsidRPr="00225710">
        <w:rPr>
          <w:rFonts w:cs="Arial"/>
          <w:lang w:val="fr-CH"/>
        </w:rPr>
        <w:t>Voir, Rapport explicatif concernant le protocole à la convention de 2000 relative à l'entraide judiciaire en matière pénale entre les États membres de l'Union européenne</w:t>
      </w:r>
      <w:r>
        <w:rPr>
          <w:rFonts w:cs="Arial"/>
          <w:lang w:val="fr-CH"/>
        </w:rPr>
        <w:t>, (ci-après, le rapport explicatif du Protocole)</w:t>
      </w:r>
      <w:r w:rsidRPr="00225710">
        <w:rPr>
          <w:rFonts w:cs="Arial"/>
          <w:lang w:val="fr-CH"/>
        </w:rPr>
        <w:t>, Texte approuvé par le Conseil le 24 octobre 2002, J O 2002/C 257/01, page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63BC3"/>
    <w:rsid w:val="001C6C98"/>
    <w:rsid w:val="00200C15"/>
    <w:rsid w:val="00255463"/>
    <w:rsid w:val="00307049"/>
    <w:rsid w:val="003332DC"/>
    <w:rsid w:val="003F48B8"/>
    <w:rsid w:val="00474E60"/>
    <w:rsid w:val="004D065C"/>
    <w:rsid w:val="00592DBC"/>
    <w:rsid w:val="006C0DA4"/>
    <w:rsid w:val="00A13FF8"/>
    <w:rsid w:val="00AB62C0"/>
    <w:rsid w:val="00B12F3E"/>
    <w:rsid w:val="00DE45A4"/>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1D3A09F6-1967-4D78-9445-FA62959D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character" w:styleId="Lienhypertexte">
    <w:name w:val="Hyperlink"/>
    <w:basedOn w:val="Policepardfaut"/>
    <w:uiPriority w:val="99"/>
    <w:rsid w:val="001C6C9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www.europarl.europa.eu/comparl/libe/elsj/zoom_in/19_fr.htm" TargetMode="External"/><Relationship Id="rId1" Type="http://schemas.openxmlformats.org/officeDocument/2006/relationships/hyperlink" Target="http://www.senat.fr/rap/r07-188/r07-1884.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DP6017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6017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/sftpecos/Dossiers_parlementaires/6017/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9CBECDE-2E02-4FD3-A074-130BFE8655CD}"/>
</file>

<file path=customXml/itemProps2.xml><?xml version="1.0" encoding="utf-8"?>
<ds:datastoreItem xmlns:ds="http://schemas.openxmlformats.org/officeDocument/2006/customXml" ds:itemID="{8E25EB1D-2753-4101-B53B-78D9FC3F4A4B}"/>
</file>

<file path=customXml/itemProps3.xml><?xml version="1.0" encoding="utf-8"?>
<ds:datastoreItem xmlns:ds="http://schemas.openxmlformats.org/officeDocument/2006/customXml" ds:itemID="{3CF233F8-F74D-4EC0-941E-3801CA0EA0B6}"/>
</file>

<file path=docProps/app.xml><?xml version="1.0" encoding="utf-8"?>
<Properties xmlns="http://schemas.openxmlformats.org/officeDocument/2006/extended-properties" xmlns:vt="http://schemas.openxmlformats.org/officeDocument/2006/docPropsVTypes">
  <Template>Normal</Template>
  <TotalTime>0</TotalTime>
  <Pages>3</Pages>
  <Words>1619</Words>
  <Characters>8905</Characters>
  <Application>Microsoft Office Word</Application>
  <DocSecurity>4</DocSecurity>
  <Lines>74</Lines>
  <Paragraphs>21</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10503</CharactersWithSpaces>
  <SharedDoc>false</SharedDoc>
  <HLinks>
    <vt:vector size="12" baseType="variant">
      <vt:variant>
        <vt:i4>1507343</vt:i4>
      </vt:variant>
      <vt:variant>
        <vt:i4>3</vt:i4>
      </vt:variant>
      <vt:variant>
        <vt:i4>0</vt:i4>
      </vt:variant>
      <vt:variant>
        <vt:i4>5</vt:i4>
      </vt:variant>
      <vt:variant>
        <vt:lpwstr>http://www.europarl.europa.eu/comparl/libe/elsj/zoom_in/19_fr.htm</vt:lpwstr>
      </vt:variant>
      <vt:variant>
        <vt:lpwstr/>
      </vt:variant>
      <vt:variant>
        <vt:i4>5963856</vt:i4>
      </vt:variant>
      <vt:variant>
        <vt:i4>0</vt:i4>
      </vt:variant>
      <vt:variant>
        <vt:i4>0</vt:i4>
      </vt:variant>
      <vt:variant>
        <vt:i4>5</vt:i4>
      </vt:variant>
      <vt:variant>
        <vt:lpwstr>http://www.senat.fr/rap/r07-188/r07-1884.html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