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0D" w:rsidRPr="009C7C27" w:rsidRDefault="00651E0D" w:rsidP="00651E0D">
      <w:pPr>
        <w:jc w:val="center"/>
        <w:rPr>
          <w:rFonts w:ascii="Times New Roman" w:hAnsi="Times New Roman"/>
          <w:b/>
          <w:sz w:val="28"/>
          <w:szCs w:val="28"/>
        </w:rPr>
      </w:pPr>
      <w:bookmarkStart w:id="0" w:name="_GoBack"/>
      <w:bookmarkEnd w:id="0"/>
      <w:r w:rsidRPr="009C7C27">
        <w:rPr>
          <w:rFonts w:ascii="Times New Roman" w:hAnsi="Times New Roman"/>
          <w:b/>
          <w:sz w:val="28"/>
          <w:szCs w:val="28"/>
        </w:rPr>
        <w:t>N° 5936</w:t>
      </w:r>
    </w:p>
    <w:p w:rsidR="00651E0D" w:rsidRPr="009C7C27" w:rsidRDefault="00651E0D" w:rsidP="00651E0D">
      <w:pPr>
        <w:pBdr>
          <w:bottom w:val="thinThickSmallGap" w:sz="24" w:space="1" w:color="auto"/>
        </w:pBdr>
        <w:jc w:val="center"/>
        <w:rPr>
          <w:rFonts w:ascii="Times New Roman" w:hAnsi="Times New Roman"/>
          <w:b/>
        </w:rPr>
      </w:pPr>
    </w:p>
    <w:p w:rsidR="00651E0D" w:rsidRPr="009C7C27" w:rsidRDefault="00651E0D" w:rsidP="00651E0D">
      <w:pPr>
        <w:jc w:val="both"/>
        <w:rPr>
          <w:rFonts w:ascii="Times New Roman" w:hAnsi="Times New Roman"/>
          <w:b/>
          <w:sz w:val="28"/>
          <w:szCs w:val="28"/>
        </w:rPr>
      </w:pPr>
    </w:p>
    <w:p w:rsidR="00651E0D" w:rsidRPr="009C7C27" w:rsidRDefault="00651E0D" w:rsidP="00651E0D">
      <w:pPr>
        <w:jc w:val="center"/>
        <w:rPr>
          <w:rFonts w:ascii="Times New Roman" w:hAnsi="Times New Roman"/>
          <w:b/>
          <w:sz w:val="28"/>
          <w:szCs w:val="28"/>
        </w:rPr>
      </w:pPr>
      <w:r w:rsidRPr="009C7C27">
        <w:rPr>
          <w:rFonts w:ascii="Times New Roman" w:hAnsi="Times New Roman"/>
          <w:b/>
          <w:sz w:val="28"/>
          <w:szCs w:val="28"/>
        </w:rPr>
        <w:t>Projet de loi</w:t>
      </w:r>
    </w:p>
    <w:p w:rsidR="00651E0D" w:rsidRPr="009C7C27" w:rsidRDefault="00651E0D" w:rsidP="00651E0D">
      <w:pPr>
        <w:jc w:val="both"/>
        <w:rPr>
          <w:rFonts w:ascii="Times New Roman" w:hAnsi="Times New Roman"/>
          <w:b/>
          <w:sz w:val="28"/>
          <w:szCs w:val="28"/>
        </w:rPr>
      </w:pPr>
    </w:p>
    <w:p w:rsidR="00651E0D" w:rsidRPr="009C7C27" w:rsidRDefault="00651E0D" w:rsidP="00651E0D">
      <w:pPr>
        <w:autoSpaceDE w:val="0"/>
        <w:autoSpaceDN w:val="0"/>
        <w:adjustRightInd w:val="0"/>
        <w:jc w:val="both"/>
        <w:rPr>
          <w:rFonts w:ascii="Times New Roman" w:hAnsi="Times New Roman"/>
          <w:b/>
          <w:bCs/>
          <w:sz w:val="28"/>
          <w:szCs w:val="28"/>
          <w:lang w:val="fr-LU" w:eastAsia="fr-LU" w:bidi="ar-SA"/>
        </w:rPr>
      </w:pPr>
      <w:r w:rsidRPr="009C7C27">
        <w:rPr>
          <w:rFonts w:ascii="Times New Roman" w:hAnsi="Times New Roman"/>
          <w:b/>
          <w:bCs/>
          <w:sz w:val="28"/>
          <w:szCs w:val="28"/>
          <w:lang w:val="fr-LU" w:eastAsia="fr-LU" w:bidi="ar-SA"/>
        </w:rPr>
        <w:t>– portant transposition pour les établissements de crédit de la directive 2006/46/CE du Parlement européen et du Conseil du 14 juin 2006 modifiant les directives du Conseil 78/660/ CEE concernant les comptes annuels de certaines formes de sociétés, 83/349/CEE concernant les comptes consolidés,</w:t>
      </w:r>
    </w:p>
    <w:p w:rsidR="00651E0D" w:rsidRPr="009C7C27" w:rsidRDefault="00651E0D" w:rsidP="00651E0D">
      <w:pPr>
        <w:autoSpaceDE w:val="0"/>
        <w:autoSpaceDN w:val="0"/>
        <w:adjustRightInd w:val="0"/>
        <w:jc w:val="both"/>
        <w:rPr>
          <w:rFonts w:ascii="Times New Roman" w:hAnsi="Times New Roman"/>
          <w:b/>
          <w:bCs/>
          <w:sz w:val="28"/>
          <w:szCs w:val="28"/>
          <w:lang w:val="fr-LU" w:eastAsia="fr-LU" w:bidi="ar-SA"/>
        </w:rPr>
      </w:pPr>
      <w:r w:rsidRPr="009C7C27">
        <w:rPr>
          <w:rFonts w:ascii="Times New Roman" w:hAnsi="Times New Roman"/>
          <w:b/>
          <w:bCs/>
          <w:sz w:val="28"/>
          <w:szCs w:val="28"/>
          <w:lang w:val="fr-LU" w:eastAsia="fr-LU" w:bidi="ar-SA"/>
        </w:rPr>
        <w:t>86/635/CEE concernant les comptes annuels et les comptes consolidés des banques et autres établissements financiers et 91/674/CEE concernant les comptes annuels et les comptes consolidés des entreprises d’assurance,</w:t>
      </w:r>
    </w:p>
    <w:p w:rsidR="00651E0D" w:rsidRPr="009C7C27" w:rsidRDefault="00651E0D" w:rsidP="00651E0D">
      <w:pPr>
        <w:autoSpaceDE w:val="0"/>
        <w:autoSpaceDN w:val="0"/>
        <w:adjustRightInd w:val="0"/>
        <w:jc w:val="both"/>
        <w:rPr>
          <w:rFonts w:ascii="Times New Roman" w:hAnsi="Times New Roman"/>
          <w:b/>
          <w:bCs/>
          <w:sz w:val="28"/>
          <w:szCs w:val="28"/>
          <w:lang w:val="fr-LU" w:eastAsia="fr-LU" w:bidi="ar-SA"/>
        </w:rPr>
      </w:pPr>
    </w:p>
    <w:p w:rsidR="00651E0D" w:rsidRPr="009C7C27" w:rsidRDefault="00651E0D" w:rsidP="00651E0D">
      <w:pPr>
        <w:autoSpaceDE w:val="0"/>
        <w:autoSpaceDN w:val="0"/>
        <w:adjustRightInd w:val="0"/>
        <w:jc w:val="both"/>
        <w:rPr>
          <w:rFonts w:ascii="Times New Roman" w:hAnsi="Times New Roman"/>
          <w:b/>
          <w:bCs/>
          <w:sz w:val="28"/>
          <w:szCs w:val="28"/>
          <w:lang w:val="fr-LU" w:eastAsia="fr-LU" w:bidi="ar-SA"/>
        </w:rPr>
      </w:pPr>
      <w:r w:rsidRPr="009C7C27">
        <w:rPr>
          <w:rFonts w:ascii="Times New Roman" w:hAnsi="Times New Roman"/>
          <w:b/>
          <w:bCs/>
          <w:sz w:val="28"/>
          <w:szCs w:val="28"/>
          <w:lang w:val="fr-LU" w:eastAsia="fr-LU" w:bidi="ar-SA"/>
        </w:rPr>
        <w:t>– et modifiant la loi modifiée du 17 juin 1992 relative aux comptes des établissements de crédit</w:t>
      </w:r>
    </w:p>
    <w:p w:rsidR="00651E0D" w:rsidRDefault="00651E0D" w:rsidP="00651E0D">
      <w:pPr>
        <w:jc w:val="center"/>
        <w:rPr>
          <w:rFonts w:ascii="Times New Roman" w:hAnsi="Times New Roman"/>
          <w:b/>
          <w:bCs/>
        </w:rPr>
      </w:pPr>
    </w:p>
    <w:p w:rsidR="002D2B50" w:rsidRPr="009C7C27" w:rsidRDefault="002D2B50" w:rsidP="00651E0D">
      <w:pPr>
        <w:jc w:val="center"/>
        <w:rPr>
          <w:rFonts w:ascii="Times New Roman" w:hAnsi="Times New Roman"/>
          <w:b/>
          <w:bCs/>
        </w:rPr>
      </w:pPr>
    </w:p>
    <w:p w:rsidR="002D2B50" w:rsidRPr="009C7C27" w:rsidRDefault="002D2B50" w:rsidP="00651E0D">
      <w:pPr>
        <w:jc w:val="center"/>
        <w:rPr>
          <w:rFonts w:ascii="Times New Roman" w:hAnsi="Times New Roman"/>
          <w:sz w:val="28"/>
          <w:szCs w:val="28"/>
        </w:rPr>
      </w:pPr>
    </w:p>
    <w:p w:rsidR="00651E0D" w:rsidRDefault="00651E0D" w:rsidP="00651E0D">
      <w:pPr>
        <w:jc w:val="both"/>
        <w:rPr>
          <w:rFonts w:ascii="Times New Roman" w:hAnsi="Times New Roman"/>
          <w:color w:val="000000"/>
          <w:lang w:val="fr-LU" w:eastAsia="fr-LU" w:bidi="ar-SA"/>
        </w:rPr>
      </w:pPr>
      <w:bookmarkStart w:id="1" w:name="2"/>
      <w:bookmarkEnd w:id="1"/>
      <w:r w:rsidRPr="00D03B08">
        <w:rPr>
          <w:rFonts w:ascii="Times New Roman" w:hAnsi="Times New Roman"/>
          <w:color w:val="000000"/>
          <w:lang w:val="fr-LU" w:eastAsia="fr-LU" w:bidi="ar-SA"/>
        </w:rPr>
        <w:t>Le projet de loi a pour objet de transposer, en ce qui concerne les établissements de crédit, la directive 2006/46/CE modifiant les directives concernant les comptes annuels de certaines formes de sociétés, les comptes consolidés, les comptes annuels et les comptes consolidés des banques et autres établissements financiers et les comptes annuels et les comptes consolidés des entreprises d’assurance.</w:t>
      </w:r>
      <w:r>
        <w:rPr>
          <w:rFonts w:ascii="Times New Roman" w:hAnsi="Times New Roman"/>
          <w:color w:val="000000"/>
          <w:lang w:val="fr-LU" w:eastAsia="fr-LU" w:bidi="ar-SA"/>
        </w:rPr>
        <w:t xml:space="preserve"> </w:t>
      </w:r>
    </w:p>
    <w:p w:rsidR="00651E0D" w:rsidRPr="009C7C27" w:rsidRDefault="00651E0D" w:rsidP="00651E0D">
      <w:pPr>
        <w:spacing w:before="100" w:beforeAutospacing="1" w:after="100" w:afterAutospacing="1"/>
        <w:jc w:val="both"/>
        <w:rPr>
          <w:rFonts w:ascii="Times New Roman" w:hAnsi="Times New Roman"/>
          <w:color w:val="000000"/>
          <w:lang w:val="fr-LU" w:eastAsia="fr-LU" w:bidi="ar-SA"/>
        </w:rPr>
      </w:pPr>
      <w:r w:rsidRPr="00D03B08">
        <w:rPr>
          <w:rFonts w:ascii="Times New Roman" w:hAnsi="Times New Roman"/>
          <w:color w:val="000000"/>
          <w:lang w:val="fr-LU" w:eastAsia="fr-LU" w:bidi="ar-SA"/>
        </w:rPr>
        <w:t>La transposition est effectuée moyennant une adaptation de la loi modifiée du 17 juin 1992 relative aux comptes des établissements de crédit.</w:t>
      </w:r>
    </w:p>
    <w:p w:rsidR="00651E0D" w:rsidRDefault="00651E0D" w:rsidP="00651E0D">
      <w:pPr>
        <w:jc w:val="both"/>
        <w:rPr>
          <w:rFonts w:ascii="Times New Roman" w:hAnsi="Times New Roman"/>
        </w:rPr>
      </w:pPr>
      <w:r>
        <w:rPr>
          <w:rFonts w:ascii="Times New Roman" w:hAnsi="Times New Roman"/>
        </w:rPr>
        <w:t xml:space="preserve">Le </w:t>
      </w:r>
      <w:r w:rsidRPr="009C7C27">
        <w:rPr>
          <w:rFonts w:ascii="Times New Roman" w:hAnsi="Times New Roman"/>
        </w:rPr>
        <w:t>projet</w:t>
      </w:r>
      <w:r>
        <w:rPr>
          <w:rFonts w:ascii="Times New Roman" w:hAnsi="Times New Roman"/>
        </w:rPr>
        <w:t xml:space="preserve"> sous rubrique</w:t>
      </w:r>
      <w:r w:rsidRPr="009C7C27">
        <w:rPr>
          <w:rFonts w:ascii="Times New Roman" w:hAnsi="Times New Roman"/>
        </w:rPr>
        <w:t xml:space="preserve"> constitue une deuxième étape dans la transposition de la directive 2006/46/</w:t>
      </w:r>
      <w:r>
        <w:rPr>
          <w:rFonts w:ascii="Times New Roman" w:hAnsi="Times New Roman"/>
        </w:rPr>
        <w:t xml:space="preserve"> </w:t>
      </w:r>
      <w:r w:rsidRPr="009C7C27">
        <w:rPr>
          <w:rFonts w:ascii="Times New Roman" w:hAnsi="Times New Roman"/>
        </w:rPr>
        <w:t xml:space="preserve">CE, </w:t>
      </w:r>
      <w:r>
        <w:rPr>
          <w:rFonts w:ascii="Times New Roman" w:hAnsi="Times New Roman"/>
        </w:rPr>
        <w:t xml:space="preserve">étant donné </w:t>
      </w:r>
      <w:r w:rsidRPr="009C7C27">
        <w:rPr>
          <w:rFonts w:ascii="Times New Roman" w:hAnsi="Times New Roman"/>
        </w:rPr>
        <w:t>que pour le secteur des assurances la loi du 5 décembre 2007 a</w:t>
      </w:r>
      <w:r>
        <w:rPr>
          <w:rFonts w:ascii="Times New Roman" w:hAnsi="Times New Roman"/>
        </w:rPr>
        <w:t xml:space="preserve"> déjà</w:t>
      </w:r>
      <w:r w:rsidRPr="009C7C27">
        <w:rPr>
          <w:rFonts w:ascii="Times New Roman" w:hAnsi="Times New Roman"/>
        </w:rPr>
        <w:t xml:space="preserve"> transposé la directive en</w:t>
      </w:r>
      <w:r>
        <w:rPr>
          <w:rFonts w:ascii="Times New Roman" w:hAnsi="Times New Roman"/>
        </w:rPr>
        <w:t xml:space="preserve"> </w:t>
      </w:r>
      <w:r w:rsidRPr="009C7C27">
        <w:rPr>
          <w:rFonts w:ascii="Times New Roman" w:hAnsi="Times New Roman"/>
        </w:rPr>
        <w:t xml:space="preserve">question. Un projet de loi couvrant les sociétés commerciales </w:t>
      </w:r>
      <w:r>
        <w:rPr>
          <w:rFonts w:ascii="Times New Roman" w:hAnsi="Times New Roman"/>
        </w:rPr>
        <w:t>complètera</w:t>
      </w:r>
      <w:r w:rsidRPr="009C7C27">
        <w:rPr>
          <w:rFonts w:ascii="Times New Roman" w:hAnsi="Times New Roman"/>
        </w:rPr>
        <w:t xml:space="preserve"> la transposition de la</w:t>
      </w:r>
      <w:r>
        <w:rPr>
          <w:rFonts w:ascii="Times New Roman" w:hAnsi="Times New Roman"/>
        </w:rPr>
        <w:t xml:space="preserve"> </w:t>
      </w:r>
      <w:r w:rsidRPr="009C7C27">
        <w:rPr>
          <w:rFonts w:ascii="Times New Roman" w:hAnsi="Times New Roman"/>
        </w:rPr>
        <w:t>directive précitée</w:t>
      </w:r>
      <w:r>
        <w:rPr>
          <w:rFonts w:ascii="Times New Roman" w:hAnsi="Times New Roman"/>
        </w:rPr>
        <w:t>.</w:t>
      </w:r>
    </w:p>
    <w:p w:rsidR="00651E0D" w:rsidRPr="00166B41" w:rsidRDefault="00651E0D" w:rsidP="00651E0D">
      <w:pPr>
        <w:jc w:val="center"/>
        <w:rPr>
          <w:rFonts w:ascii="Times New Roman" w:hAnsi="Times New Roman"/>
          <w:b/>
          <w:sz w:val="28"/>
          <w:szCs w:val="28"/>
        </w:rPr>
      </w:pPr>
    </w:p>
    <w:p w:rsidR="00651E0D" w:rsidRPr="00166B41" w:rsidRDefault="00651E0D" w:rsidP="00651E0D">
      <w:pPr>
        <w:jc w:val="both"/>
        <w:rPr>
          <w:rFonts w:ascii="Times New Roman" w:hAnsi="Times New Roman"/>
        </w:rPr>
      </w:pPr>
      <w:r w:rsidRPr="00166B41">
        <w:rPr>
          <w:rFonts w:ascii="Times New Roman" w:hAnsi="Times New Roman"/>
        </w:rPr>
        <w:t>La directive 2006/46/ CE a pour objectif de faciliter l'investissement transfrontalier, d'améliorer la comparabilité des états financiers et des rapports de gestion dans toute l'Union européenne et de renforcer la confiance du public envers ces publications par l'insertion d'informations spécifiques, de meilleure qualité et au contenu cohérent</w:t>
      </w:r>
      <w:r>
        <w:rPr>
          <w:rFonts w:ascii="Times New Roman" w:hAnsi="Times New Roman"/>
        </w:rPr>
        <w:t>.</w:t>
      </w:r>
    </w:p>
    <w:p w:rsidR="00651E0D" w:rsidRPr="00166B41" w:rsidRDefault="00651E0D" w:rsidP="00651E0D">
      <w:pPr>
        <w:jc w:val="center"/>
        <w:rPr>
          <w:rFonts w:ascii="Times New Roman" w:hAnsi="Times New Roman"/>
          <w:b/>
        </w:rPr>
      </w:pPr>
    </w:p>
    <w:p w:rsidR="00651E0D" w:rsidRPr="00166B41" w:rsidRDefault="00651E0D" w:rsidP="00651E0D">
      <w:pPr>
        <w:jc w:val="both"/>
        <w:rPr>
          <w:rFonts w:ascii="Times New Roman" w:hAnsi="Times New Roman"/>
        </w:rPr>
      </w:pPr>
      <w:r w:rsidRPr="00166B41">
        <w:rPr>
          <w:rFonts w:ascii="Times New Roman" w:hAnsi="Times New Roman"/>
        </w:rPr>
        <w:t>Elle introduit plusieurs modifications par rapport à la législation actuelle :</w:t>
      </w:r>
    </w:p>
    <w:p w:rsidR="00651E0D" w:rsidRPr="009C7C27" w:rsidRDefault="00651E0D" w:rsidP="00651E0D">
      <w:pPr>
        <w:jc w:val="both"/>
        <w:rPr>
          <w:rFonts w:ascii="Times New Roman" w:hAnsi="Times New Roman"/>
        </w:rPr>
      </w:pPr>
    </w:p>
    <w:p w:rsidR="00651E0D" w:rsidRPr="009C7C27" w:rsidRDefault="002D2B50" w:rsidP="00651E0D">
      <w:pPr>
        <w:jc w:val="both"/>
        <w:rPr>
          <w:rFonts w:ascii="Times New Roman" w:hAnsi="Times New Roman"/>
        </w:rPr>
      </w:pPr>
      <w:r>
        <w:rPr>
          <w:rFonts w:ascii="Times New Roman" w:hAnsi="Times New Roman"/>
        </w:rPr>
        <w:t>D’abord</w:t>
      </w:r>
      <w:r w:rsidR="00651E0D" w:rsidRPr="009C7C27">
        <w:rPr>
          <w:rFonts w:ascii="Times New Roman" w:hAnsi="Times New Roman"/>
        </w:rPr>
        <w:t>, elle vise à rendre plus transparentes les transactions avec les parties liées, conformément aux normes comptables internationales</w:t>
      </w:r>
      <w:r w:rsidR="00651E0D">
        <w:rPr>
          <w:rFonts w:ascii="Times New Roman" w:hAnsi="Times New Roman"/>
        </w:rPr>
        <w:t xml:space="preserve"> (IAS/IFRS)</w:t>
      </w:r>
      <w:r w:rsidR="00651E0D" w:rsidRPr="009C7C27">
        <w:rPr>
          <w:rFonts w:ascii="Times New Roman" w:hAnsi="Times New Roman"/>
        </w:rPr>
        <w:t>, en imposant l’obligation de publicité non seulement entre un établissement de crédit mère et ses filiales, mais aussi vers d’autres types de parties liées, comme les principaux dirigeants et les conjoints des membres des organes d’administration, de gestion et de surveillance. Cette règle a pour but d’imposer aux établissements de crédit n’appliquant pas les normes comptables internationales les mêmes contraintes que celles pesant sur les établissements de crédit appliquant ces normes.</w:t>
      </w:r>
    </w:p>
    <w:p w:rsidR="00651E0D" w:rsidRPr="009C7C27" w:rsidRDefault="00651E0D" w:rsidP="00651E0D">
      <w:pPr>
        <w:jc w:val="both"/>
        <w:rPr>
          <w:rFonts w:ascii="Times New Roman" w:hAnsi="Times New Roman"/>
        </w:rPr>
      </w:pPr>
    </w:p>
    <w:p w:rsidR="00651E0D" w:rsidRPr="009C7C27" w:rsidRDefault="00651E0D" w:rsidP="00651E0D">
      <w:pPr>
        <w:jc w:val="both"/>
        <w:rPr>
          <w:rFonts w:ascii="Times New Roman" w:hAnsi="Times New Roman"/>
        </w:rPr>
      </w:pPr>
      <w:r w:rsidRPr="009C7C27">
        <w:rPr>
          <w:rFonts w:ascii="Times New Roman" w:hAnsi="Times New Roman"/>
        </w:rPr>
        <w:t>La directive impose ensuite à chaque établissement de crédit de produire dans l’annexe aux comptes annuels ou aux comptes consolidés une information exhaustive sur ses opérations non inscrites au bilan, lorsque les risques ou avantages découlant de ces opérations</w:t>
      </w:r>
      <w:r>
        <w:rPr>
          <w:rFonts w:ascii="Times New Roman" w:hAnsi="Times New Roman"/>
        </w:rPr>
        <w:t xml:space="preserve"> dites « hors bilan »</w:t>
      </w:r>
      <w:r w:rsidRPr="009C7C27">
        <w:rPr>
          <w:rFonts w:ascii="Times New Roman" w:hAnsi="Times New Roman"/>
        </w:rPr>
        <w:t xml:space="preserve"> sont significatifs et dans la mesure où la divulgation de ces risques ou avantages est nécessaire pour l’appréciation de la situation financière de l’établissement de crédit. </w:t>
      </w:r>
    </w:p>
    <w:p w:rsidR="00651E0D" w:rsidRPr="009C7C27" w:rsidRDefault="00651E0D" w:rsidP="00651E0D">
      <w:pPr>
        <w:jc w:val="both"/>
        <w:rPr>
          <w:rFonts w:ascii="Times New Roman" w:hAnsi="Times New Roman"/>
        </w:rPr>
      </w:pPr>
    </w:p>
    <w:p w:rsidR="00651E0D" w:rsidRPr="009C7C27" w:rsidRDefault="002D2B50" w:rsidP="00651E0D">
      <w:pPr>
        <w:jc w:val="both"/>
        <w:rPr>
          <w:rFonts w:ascii="Times New Roman" w:hAnsi="Times New Roman"/>
        </w:rPr>
      </w:pPr>
      <w:r>
        <w:rPr>
          <w:rFonts w:ascii="Times New Roman" w:hAnsi="Times New Roman"/>
        </w:rPr>
        <w:t>Par ailleurs</w:t>
      </w:r>
      <w:r w:rsidR="00651E0D" w:rsidRPr="009C7C27">
        <w:rPr>
          <w:rFonts w:ascii="Times New Roman" w:hAnsi="Times New Roman"/>
        </w:rPr>
        <w:t xml:space="preserve">, la directive renforce </w:t>
      </w:r>
      <w:r w:rsidR="00651E0D">
        <w:rPr>
          <w:rFonts w:ascii="Times New Roman" w:hAnsi="Times New Roman"/>
        </w:rPr>
        <w:t>la gouvernance</w:t>
      </w:r>
      <w:r w:rsidR="00651E0D" w:rsidRPr="009C7C27">
        <w:rPr>
          <w:rFonts w:ascii="Times New Roman" w:hAnsi="Times New Roman"/>
        </w:rPr>
        <w:t xml:space="preserve"> d’entreprise. Désormais, les établissements de crédit dont les titres sont admis à la négociation sur un marché réglementé</w:t>
      </w:r>
      <w:r w:rsidR="00D05548">
        <w:rPr>
          <w:rFonts w:ascii="Times New Roman" w:hAnsi="Times New Roman"/>
        </w:rPr>
        <w:t>, c’est-à-</w:t>
      </w:r>
      <w:r w:rsidR="00651E0D">
        <w:rPr>
          <w:rFonts w:ascii="Times New Roman" w:hAnsi="Times New Roman"/>
        </w:rPr>
        <w:t>dire cotés à la bourse,</w:t>
      </w:r>
      <w:r w:rsidR="00651E0D" w:rsidRPr="009C7C27">
        <w:rPr>
          <w:rFonts w:ascii="Times New Roman" w:hAnsi="Times New Roman"/>
        </w:rPr>
        <w:t xml:space="preserve"> et qui ont leur siège statutaire dans la Communauté sont tenus de publier une déclaration annuelle sur le gouvernement d’entreprise. </w:t>
      </w:r>
    </w:p>
    <w:p w:rsidR="00651E0D" w:rsidRPr="009C7C27" w:rsidRDefault="00651E0D" w:rsidP="00651E0D">
      <w:pPr>
        <w:jc w:val="both"/>
        <w:rPr>
          <w:rFonts w:ascii="Times New Roman" w:hAnsi="Times New Roman"/>
        </w:rPr>
      </w:pPr>
    </w:p>
    <w:p w:rsidR="00651E0D" w:rsidRDefault="00651E0D" w:rsidP="00651E0D">
      <w:pPr>
        <w:jc w:val="both"/>
        <w:rPr>
          <w:rFonts w:ascii="Times New Roman" w:hAnsi="Times New Roman"/>
        </w:rPr>
      </w:pPr>
      <w:r>
        <w:rPr>
          <w:rFonts w:ascii="Times New Roman" w:hAnsi="Times New Roman"/>
        </w:rPr>
        <w:t>L</w:t>
      </w:r>
      <w:r w:rsidRPr="009C7C27">
        <w:rPr>
          <w:rFonts w:ascii="Times New Roman" w:hAnsi="Times New Roman"/>
        </w:rPr>
        <w:t xml:space="preserve">e texte impose </w:t>
      </w:r>
      <w:r>
        <w:rPr>
          <w:rFonts w:ascii="Times New Roman" w:hAnsi="Times New Roman"/>
        </w:rPr>
        <w:t xml:space="preserve">également </w:t>
      </w:r>
      <w:r w:rsidRPr="009C7C27">
        <w:rPr>
          <w:rFonts w:ascii="Times New Roman" w:hAnsi="Times New Roman"/>
        </w:rPr>
        <w:t>des règles plus strictes et plus claires en matière de responsabilité des organes d’administration, de gestion et de surveillance de l’établissement de crédit en matière comptable, afin de contribuer à la lutte contre la fraude et de renforcer la confiance du public en ce qui concerne l’établissement et la publication des comptes annuels,  du rapport de gestion ainsi que l’établissement des comptes consolidés et des informations non financières essentielles.</w:t>
      </w:r>
    </w:p>
    <w:p w:rsidR="00651E0D" w:rsidRPr="009C7C27" w:rsidRDefault="00651E0D" w:rsidP="00651E0D">
      <w:pPr>
        <w:jc w:val="both"/>
        <w:rPr>
          <w:rFonts w:ascii="Times New Roman" w:hAnsi="Times New Roman"/>
        </w:rPr>
      </w:pPr>
    </w:p>
    <w:sectPr w:rsidR="00651E0D" w:rsidRPr="009C7C27" w:rsidSect="00651E0D">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023" w:rsidRDefault="00A75023">
      <w:r>
        <w:separator/>
      </w:r>
    </w:p>
  </w:endnote>
  <w:endnote w:type="continuationSeparator" w:id="0">
    <w:p w:rsidR="00A75023" w:rsidRDefault="00A7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E0D" w:rsidRDefault="00651E0D" w:rsidP="00651E0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651E0D" w:rsidRDefault="00651E0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E0D" w:rsidRDefault="00651E0D" w:rsidP="00651E0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D7044">
      <w:rPr>
        <w:rStyle w:val="Numrodepage"/>
        <w:noProof/>
      </w:rPr>
      <w:t>2</w:t>
    </w:r>
    <w:r>
      <w:rPr>
        <w:rStyle w:val="Numrodepage"/>
      </w:rPr>
      <w:fldChar w:fldCharType="end"/>
    </w:r>
  </w:p>
  <w:p w:rsidR="00651E0D" w:rsidRDefault="00651E0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023" w:rsidRDefault="00A75023">
      <w:r>
        <w:separator/>
      </w:r>
    </w:p>
  </w:footnote>
  <w:footnote w:type="continuationSeparator" w:id="0">
    <w:p w:rsidR="00A75023" w:rsidRDefault="00A750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B551D"/>
    <w:multiLevelType w:val="multilevel"/>
    <w:tmpl w:val="F80C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34B73E6"/>
    <w:multiLevelType w:val="hybridMultilevel"/>
    <w:tmpl w:val="CC78D0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Symbol" w:hint="default"/>
      </w:rPr>
    </w:lvl>
    <w:lvl w:ilvl="1" w:tplc="040C0003" w:tentative="1">
      <w:start w:val="1"/>
      <w:numFmt w:val="bullet"/>
      <w:lvlText w:val="o"/>
      <w:lvlJc w:val="left"/>
      <w:pPr>
        <w:tabs>
          <w:tab w:val="num" w:pos="2148"/>
        </w:tabs>
        <w:ind w:left="2148" w:hanging="360"/>
      </w:pPr>
      <w:rPr>
        <w:rFonts w:ascii="Courier New" w:hAnsi="Courier New" w:cs="Aria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Arial"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Arial"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FE0D47"/>
    <w:multiLevelType w:val="hybridMultilevel"/>
    <w:tmpl w:val="3380475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B60A4D"/>
    <w:multiLevelType w:val="hybridMultilevel"/>
    <w:tmpl w:val="BC9C2F4A"/>
    <w:lvl w:ilvl="0" w:tplc="1860833C">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305B3"/>
    <w:multiLevelType w:val="hybridMultilevel"/>
    <w:tmpl w:val="E55ED3CC"/>
    <w:lvl w:ilvl="0" w:tplc="1860833C">
      <w:start w:val="3"/>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14367A"/>
    <w:multiLevelType w:val="hybridMultilevel"/>
    <w:tmpl w:val="EFCC0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7"/>
  </w:num>
  <w:num w:numId="5">
    <w:abstractNumId w:val="5"/>
  </w:num>
  <w:num w:numId="6">
    <w:abstractNumId w:val="0"/>
  </w:num>
  <w:num w:numId="7">
    <w:abstractNumId w:val="10"/>
  </w:num>
  <w:num w:numId="8">
    <w:abstractNumId w:val="2"/>
  </w:num>
  <w:num w:numId="9">
    <w:abstractNumId w:val="11"/>
  </w:num>
  <w:num w:numId="10">
    <w:abstractNumId w:val="1"/>
  </w:num>
  <w:num w:numId="11">
    <w:abstractNumId w:val="13"/>
  </w:num>
  <w:num w:numId="12">
    <w:abstractNumId w:val="12"/>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774F2"/>
    <w:rsid w:val="002663F3"/>
    <w:rsid w:val="002C34ED"/>
    <w:rsid w:val="002D2B50"/>
    <w:rsid w:val="002D61B9"/>
    <w:rsid w:val="00337D72"/>
    <w:rsid w:val="003B75A4"/>
    <w:rsid w:val="00440C01"/>
    <w:rsid w:val="00486FA7"/>
    <w:rsid w:val="00493D77"/>
    <w:rsid w:val="0049521E"/>
    <w:rsid w:val="004D5E14"/>
    <w:rsid w:val="004F72D3"/>
    <w:rsid w:val="0053176A"/>
    <w:rsid w:val="00651E0D"/>
    <w:rsid w:val="00762D67"/>
    <w:rsid w:val="007F556C"/>
    <w:rsid w:val="00993E33"/>
    <w:rsid w:val="009D2ABF"/>
    <w:rsid w:val="009D7044"/>
    <w:rsid w:val="00A75023"/>
    <w:rsid w:val="00AE1AA5"/>
    <w:rsid w:val="00B933FD"/>
    <w:rsid w:val="00D05548"/>
    <w:rsid w:val="00DA3B4D"/>
    <w:rsid w:val="00DD48BC"/>
    <w:rsid w:val="00F740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F77A795-EA40-417F-BCC6-01ECE406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10"/>
    <w:rPr>
      <w:sz w:val="24"/>
      <w:szCs w:val="24"/>
      <w:lang w:val="fr-FR" w:eastAsia="en-US" w:bidi="en-US"/>
    </w:rPr>
  </w:style>
  <w:style w:type="paragraph" w:styleId="Titre1">
    <w:name w:val="heading 1"/>
    <w:basedOn w:val="Normal"/>
    <w:next w:val="Normal"/>
    <w:link w:val="Titre1Car"/>
    <w:uiPriority w:val="9"/>
    <w:qFormat/>
    <w:rsid w:val="00977210"/>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qFormat/>
    <w:rsid w:val="00977210"/>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qFormat/>
    <w:rsid w:val="00977210"/>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qFormat/>
    <w:rsid w:val="00977210"/>
    <w:pPr>
      <w:keepNext/>
      <w:spacing w:before="240" w:after="60"/>
      <w:outlineLvl w:val="3"/>
    </w:pPr>
    <w:rPr>
      <w:b/>
      <w:bCs/>
      <w:sz w:val="28"/>
      <w:szCs w:val="28"/>
    </w:rPr>
  </w:style>
  <w:style w:type="paragraph" w:styleId="Titre5">
    <w:name w:val="heading 5"/>
    <w:basedOn w:val="Normal"/>
    <w:next w:val="Normal"/>
    <w:link w:val="Titre5Car"/>
    <w:uiPriority w:val="9"/>
    <w:qFormat/>
    <w:rsid w:val="00977210"/>
    <w:pPr>
      <w:spacing w:before="240" w:after="60"/>
      <w:outlineLvl w:val="4"/>
    </w:pPr>
    <w:rPr>
      <w:b/>
      <w:bCs/>
      <w:i/>
      <w:iCs/>
      <w:sz w:val="26"/>
      <w:szCs w:val="26"/>
    </w:rPr>
  </w:style>
  <w:style w:type="paragraph" w:styleId="Titre6">
    <w:name w:val="heading 6"/>
    <w:basedOn w:val="Normal"/>
    <w:next w:val="Normal"/>
    <w:link w:val="Titre6Car"/>
    <w:uiPriority w:val="9"/>
    <w:qFormat/>
    <w:rsid w:val="00977210"/>
    <w:pPr>
      <w:spacing w:before="240" w:after="60"/>
      <w:outlineLvl w:val="5"/>
    </w:pPr>
    <w:rPr>
      <w:b/>
      <w:bCs/>
      <w:sz w:val="22"/>
      <w:szCs w:val="22"/>
    </w:rPr>
  </w:style>
  <w:style w:type="paragraph" w:styleId="Titre7">
    <w:name w:val="heading 7"/>
    <w:basedOn w:val="Normal"/>
    <w:next w:val="Normal"/>
    <w:link w:val="Titre7Car"/>
    <w:uiPriority w:val="9"/>
    <w:qFormat/>
    <w:rsid w:val="00977210"/>
    <w:pPr>
      <w:spacing w:before="240" w:after="60"/>
      <w:outlineLvl w:val="6"/>
    </w:pPr>
  </w:style>
  <w:style w:type="paragraph" w:styleId="Titre8">
    <w:name w:val="heading 8"/>
    <w:basedOn w:val="Normal"/>
    <w:next w:val="Normal"/>
    <w:link w:val="Titre8Car"/>
    <w:uiPriority w:val="9"/>
    <w:qFormat/>
    <w:rsid w:val="00977210"/>
    <w:pPr>
      <w:spacing w:before="240" w:after="60"/>
      <w:outlineLvl w:val="7"/>
    </w:pPr>
    <w:rPr>
      <w:i/>
      <w:iCs/>
    </w:rPr>
  </w:style>
  <w:style w:type="paragraph" w:styleId="Titre9">
    <w:name w:val="heading 9"/>
    <w:basedOn w:val="Normal"/>
    <w:next w:val="Normal"/>
    <w:link w:val="Titre9Car"/>
    <w:uiPriority w:val="9"/>
    <w:qFormat/>
    <w:rsid w:val="00977210"/>
    <w:pPr>
      <w:spacing w:before="240" w:after="60"/>
      <w:outlineLvl w:val="8"/>
    </w:pPr>
    <w:rPr>
      <w:rFonts w:ascii="Cambria" w:hAnsi="Cambria"/>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link w:val="PieddepageCar"/>
    <w:uiPriority w:val="99"/>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character" w:styleId="Lienhypertexte">
    <w:name w:val="Hyperlink"/>
    <w:basedOn w:val="Policepardfaut"/>
    <w:rsid w:val="00870222"/>
    <w:rPr>
      <w:color w:val="0000FF"/>
      <w:u w:val="single"/>
    </w:rPr>
  </w:style>
  <w:style w:type="character" w:customStyle="1" w:styleId="romain1">
    <w:name w:val="romain1"/>
    <w:basedOn w:val="Policepardfaut"/>
    <w:rsid w:val="00870222"/>
    <w:rPr>
      <w:smallCaps/>
    </w:rPr>
  </w:style>
  <w:style w:type="character" w:styleId="lev">
    <w:name w:val="Strong"/>
    <w:basedOn w:val="Policepardfaut"/>
    <w:uiPriority w:val="22"/>
    <w:qFormat/>
    <w:rsid w:val="00977210"/>
    <w:rPr>
      <w:b/>
      <w:bCs/>
    </w:rPr>
  </w:style>
  <w:style w:type="paragraph" w:styleId="En-tte">
    <w:name w:val="header"/>
    <w:basedOn w:val="Normal"/>
    <w:link w:val="En-tteCar"/>
    <w:rsid w:val="0039380F"/>
    <w:pPr>
      <w:tabs>
        <w:tab w:val="center" w:pos="4536"/>
        <w:tab w:val="right" w:pos="9072"/>
      </w:tabs>
    </w:pPr>
  </w:style>
  <w:style w:type="character" w:customStyle="1" w:styleId="En-tteCar">
    <w:name w:val="En-tête Car"/>
    <w:basedOn w:val="Policepardfaut"/>
    <w:link w:val="En-tte"/>
    <w:rsid w:val="0039380F"/>
    <w:rPr>
      <w:sz w:val="24"/>
      <w:szCs w:val="24"/>
      <w:lang w:val="fr-FR" w:eastAsia="fr-FR"/>
    </w:rPr>
  </w:style>
  <w:style w:type="character" w:customStyle="1" w:styleId="PieddepageCar">
    <w:name w:val="Pied de page Car"/>
    <w:basedOn w:val="Policepardfaut"/>
    <w:link w:val="Pieddepage"/>
    <w:uiPriority w:val="99"/>
    <w:rsid w:val="0039380F"/>
    <w:rPr>
      <w:sz w:val="24"/>
      <w:szCs w:val="24"/>
      <w:lang w:val="fr-FR" w:eastAsia="fr-FR"/>
    </w:rPr>
  </w:style>
  <w:style w:type="paragraph" w:styleId="Notedefin">
    <w:name w:val="endnote text"/>
    <w:basedOn w:val="Normal"/>
    <w:link w:val="NotedefinCar"/>
    <w:rsid w:val="00B16D97"/>
    <w:rPr>
      <w:sz w:val="20"/>
      <w:szCs w:val="20"/>
    </w:rPr>
  </w:style>
  <w:style w:type="character" w:customStyle="1" w:styleId="NotedefinCar">
    <w:name w:val="Note de fin Car"/>
    <w:basedOn w:val="Policepardfaut"/>
    <w:link w:val="Notedefin"/>
    <w:rsid w:val="00B16D97"/>
    <w:rPr>
      <w:lang w:val="fr-FR" w:eastAsia="fr-FR"/>
    </w:rPr>
  </w:style>
  <w:style w:type="character" w:styleId="Appeldenotedefin">
    <w:name w:val="endnote reference"/>
    <w:basedOn w:val="Policepardfaut"/>
    <w:rsid w:val="00B16D97"/>
    <w:rPr>
      <w:vertAlign w:val="superscript"/>
    </w:rPr>
  </w:style>
  <w:style w:type="character" w:styleId="Accentuation">
    <w:name w:val="Emphasis"/>
    <w:basedOn w:val="Policepardfaut"/>
    <w:uiPriority w:val="20"/>
    <w:qFormat/>
    <w:rsid w:val="00977210"/>
    <w:rPr>
      <w:rFonts w:ascii="Calibri" w:hAnsi="Calibri"/>
      <w:b/>
      <w:i/>
      <w:iCs/>
    </w:rPr>
  </w:style>
  <w:style w:type="character" w:customStyle="1" w:styleId="Titre1Car">
    <w:name w:val="Titre 1 Car"/>
    <w:basedOn w:val="Policepardfaut"/>
    <w:link w:val="Titre1"/>
    <w:uiPriority w:val="9"/>
    <w:rsid w:val="00977210"/>
    <w:rPr>
      <w:rFonts w:ascii="Cambria" w:eastAsia="Times New Roman" w:hAnsi="Cambria"/>
      <w:b/>
      <w:bCs/>
      <w:kern w:val="32"/>
      <w:sz w:val="32"/>
      <w:szCs w:val="32"/>
    </w:rPr>
  </w:style>
  <w:style w:type="character" w:customStyle="1" w:styleId="Titre2Car">
    <w:name w:val="Titre 2 Car"/>
    <w:basedOn w:val="Policepardfaut"/>
    <w:link w:val="Titre2"/>
    <w:uiPriority w:val="9"/>
    <w:semiHidden/>
    <w:rsid w:val="00977210"/>
    <w:rPr>
      <w:rFonts w:ascii="Cambria" w:eastAsia="Times New Roman" w:hAnsi="Cambria"/>
      <w:b/>
      <w:bCs/>
      <w:i/>
      <w:iCs/>
      <w:sz w:val="28"/>
      <w:szCs w:val="28"/>
    </w:rPr>
  </w:style>
  <w:style w:type="character" w:customStyle="1" w:styleId="Titre3Car">
    <w:name w:val="Titre 3 Car"/>
    <w:basedOn w:val="Policepardfaut"/>
    <w:link w:val="Titre3"/>
    <w:uiPriority w:val="9"/>
    <w:semiHidden/>
    <w:rsid w:val="00977210"/>
    <w:rPr>
      <w:rFonts w:ascii="Cambria" w:eastAsia="Times New Roman" w:hAnsi="Cambria"/>
      <w:b/>
      <w:bCs/>
      <w:sz w:val="26"/>
      <w:szCs w:val="26"/>
    </w:rPr>
  </w:style>
  <w:style w:type="character" w:customStyle="1" w:styleId="Titre4Car">
    <w:name w:val="Titre 4 Car"/>
    <w:basedOn w:val="Policepardfaut"/>
    <w:link w:val="Titre4"/>
    <w:uiPriority w:val="9"/>
    <w:rsid w:val="00977210"/>
    <w:rPr>
      <w:b/>
      <w:bCs/>
      <w:sz w:val="28"/>
      <w:szCs w:val="28"/>
    </w:rPr>
  </w:style>
  <w:style w:type="character" w:customStyle="1" w:styleId="Titre5Car">
    <w:name w:val="Titre 5 Car"/>
    <w:basedOn w:val="Policepardfaut"/>
    <w:link w:val="Titre5"/>
    <w:uiPriority w:val="9"/>
    <w:semiHidden/>
    <w:rsid w:val="00977210"/>
    <w:rPr>
      <w:b/>
      <w:bCs/>
      <w:i/>
      <w:iCs/>
      <w:sz w:val="26"/>
      <w:szCs w:val="26"/>
    </w:rPr>
  </w:style>
  <w:style w:type="character" w:customStyle="1" w:styleId="Titre6Car">
    <w:name w:val="Titre 6 Car"/>
    <w:basedOn w:val="Policepardfaut"/>
    <w:link w:val="Titre6"/>
    <w:uiPriority w:val="9"/>
    <w:semiHidden/>
    <w:rsid w:val="00977210"/>
    <w:rPr>
      <w:b/>
      <w:bCs/>
    </w:rPr>
  </w:style>
  <w:style w:type="character" w:customStyle="1" w:styleId="Titre7Car">
    <w:name w:val="Titre 7 Car"/>
    <w:basedOn w:val="Policepardfaut"/>
    <w:link w:val="Titre7"/>
    <w:uiPriority w:val="9"/>
    <w:semiHidden/>
    <w:rsid w:val="00977210"/>
    <w:rPr>
      <w:sz w:val="24"/>
      <w:szCs w:val="24"/>
    </w:rPr>
  </w:style>
  <w:style w:type="character" w:customStyle="1" w:styleId="Titre8Car">
    <w:name w:val="Titre 8 Car"/>
    <w:basedOn w:val="Policepardfaut"/>
    <w:link w:val="Titre8"/>
    <w:uiPriority w:val="9"/>
    <w:semiHidden/>
    <w:rsid w:val="00977210"/>
    <w:rPr>
      <w:i/>
      <w:iCs/>
      <w:sz w:val="24"/>
      <w:szCs w:val="24"/>
    </w:rPr>
  </w:style>
  <w:style w:type="character" w:customStyle="1" w:styleId="Titre9Car">
    <w:name w:val="Titre 9 Car"/>
    <w:basedOn w:val="Policepardfaut"/>
    <w:link w:val="Titre9"/>
    <w:uiPriority w:val="9"/>
    <w:semiHidden/>
    <w:rsid w:val="00977210"/>
    <w:rPr>
      <w:rFonts w:ascii="Cambria" w:eastAsia="Times New Roman" w:hAnsi="Cambria"/>
    </w:rPr>
  </w:style>
  <w:style w:type="paragraph" w:styleId="Titre">
    <w:name w:val="Title"/>
    <w:basedOn w:val="Normal"/>
    <w:next w:val="Normal"/>
    <w:link w:val="TitreCar"/>
    <w:uiPriority w:val="10"/>
    <w:qFormat/>
    <w:rsid w:val="00977210"/>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977210"/>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977210"/>
    <w:pPr>
      <w:spacing w:after="60"/>
      <w:jc w:val="center"/>
      <w:outlineLvl w:val="1"/>
    </w:pPr>
    <w:rPr>
      <w:rFonts w:ascii="Cambria" w:hAnsi="Cambria"/>
    </w:rPr>
  </w:style>
  <w:style w:type="character" w:customStyle="1" w:styleId="Sous-titreCar">
    <w:name w:val="Sous-titre Car"/>
    <w:basedOn w:val="Policepardfaut"/>
    <w:link w:val="Sous-titre"/>
    <w:uiPriority w:val="11"/>
    <w:rsid w:val="00977210"/>
    <w:rPr>
      <w:rFonts w:ascii="Cambria" w:eastAsia="Times New Roman" w:hAnsi="Cambria"/>
      <w:sz w:val="24"/>
      <w:szCs w:val="24"/>
    </w:rPr>
  </w:style>
  <w:style w:type="paragraph" w:customStyle="1" w:styleId="NoSpacing">
    <w:name w:val="No Spacing"/>
    <w:basedOn w:val="Normal"/>
    <w:uiPriority w:val="1"/>
    <w:qFormat/>
    <w:rsid w:val="00977210"/>
    <w:rPr>
      <w:szCs w:val="32"/>
    </w:rPr>
  </w:style>
  <w:style w:type="paragraph" w:styleId="Listecouleur-Accent1">
    <w:name w:val="Colorful List Accent 1"/>
    <w:basedOn w:val="Normal"/>
    <w:uiPriority w:val="34"/>
    <w:qFormat/>
    <w:rsid w:val="00977210"/>
    <w:pPr>
      <w:ind w:left="720"/>
      <w:contextualSpacing/>
    </w:pPr>
  </w:style>
  <w:style w:type="paragraph" w:styleId="Grillecouleur-Accent1">
    <w:name w:val="Colorful Grid Accent 1"/>
    <w:basedOn w:val="Normal"/>
    <w:next w:val="Normal"/>
    <w:link w:val="Grillecouleur-Accent1Car"/>
    <w:uiPriority w:val="29"/>
    <w:qFormat/>
    <w:rsid w:val="00977210"/>
    <w:rPr>
      <w:i/>
    </w:rPr>
  </w:style>
  <w:style w:type="character" w:customStyle="1" w:styleId="Grillecouleur-Accent1Car">
    <w:name w:val="Grille couleur - Accent 1 Car"/>
    <w:basedOn w:val="Policepardfaut"/>
    <w:link w:val="Grillecouleur-Accent1"/>
    <w:uiPriority w:val="29"/>
    <w:rsid w:val="00977210"/>
    <w:rPr>
      <w:i/>
      <w:sz w:val="24"/>
      <w:szCs w:val="24"/>
    </w:rPr>
  </w:style>
  <w:style w:type="paragraph" w:styleId="Trameclaire-Accent2">
    <w:name w:val="Light Shading Accent 2"/>
    <w:basedOn w:val="Normal"/>
    <w:next w:val="Normal"/>
    <w:link w:val="Trameclaire-Accent2Car"/>
    <w:uiPriority w:val="30"/>
    <w:qFormat/>
    <w:rsid w:val="00977210"/>
    <w:pPr>
      <w:ind w:left="720" w:right="720"/>
    </w:pPr>
    <w:rPr>
      <w:b/>
      <w:i/>
      <w:szCs w:val="22"/>
    </w:rPr>
  </w:style>
  <w:style w:type="character" w:customStyle="1" w:styleId="Trameclaire-Accent2Car">
    <w:name w:val="Trame claire - Accent 2 Car"/>
    <w:basedOn w:val="Policepardfaut"/>
    <w:link w:val="Trameclaire-Accent2"/>
    <w:uiPriority w:val="30"/>
    <w:rsid w:val="00977210"/>
    <w:rPr>
      <w:b/>
      <w:i/>
      <w:sz w:val="24"/>
    </w:rPr>
  </w:style>
  <w:style w:type="character" w:customStyle="1" w:styleId="SubtleEmphasis">
    <w:name w:val="Subtle Emphasis"/>
    <w:uiPriority w:val="19"/>
    <w:qFormat/>
    <w:rsid w:val="00977210"/>
    <w:rPr>
      <w:i/>
      <w:color w:val="5A5A5A"/>
    </w:rPr>
  </w:style>
  <w:style w:type="character" w:customStyle="1" w:styleId="IntenseEmphasis">
    <w:name w:val="Intense Emphasis"/>
    <w:basedOn w:val="Policepardfaut"/>
    <w:uiPriority w:val="21"/>
    <w:qFormat/>
    <w:rsid w:val="00977210"/>
    <w:rPr>
      <w:b/>
      <w:i/>
      <w:sz w:val="24"/>
      <w:szCs w:val="24"/>
      <w:u w:val="single"/>
    </w:rPr>
  </w:style>
  <w:style w:type="character" w:customStyle="1" w:styleId="SubtleReference">
    <w:name w:val="Subtle Reference"/>
    <w:basedOn w:val="Policepardfaut"/>
    <w:uiPriority w:val="31"/>
    <w:qFormat/>
    <w:rsid w:val="00977210"/>
    <w:rPr>
      <w:sz w:val="24"/>
      <w:szCs w:val="24"/>
      <w:u w:val="single"/>
    </w:rPr>
  </w:style>
  <w:style w:type="character" w:customStyle="1" w:styleId="IntenseReference">
    <w:name w:val="Intense Reference"/>
    <w:basedOn w:val="Policepardfaut"/>
    <w:uiPriority w:val="32"/>
    <w:qFormat/>
    <w:rsid w:val="00977210"/>
    <w:rPr>
      <w:b/>
      <w:sz w:val="24"/>
      <w:u w:val="single"/>
    </w:rPr>
  </w:style>
  <w:style w:type="character" w:customStyle="1" w:styleId="BookTitle">
    <w:name w:val="Book Title"/>
    <w:basedOn w:val="Policepardfaut"/>
    <w:uiPriority w:val="33"/>
    <w:qFormat/>
    <w:rsid w:val="00977210"/>
    <w:rPr>
      <w:rFonts w:ascii="Cambria" w:eastAsia="Times New Roman" w:hAnsi="Cambria"/>
      <w:b/>
      <w:i/>
      <w:sz w:val="24"/>
      <w:szCs w:val="24"/>
    </w:rPr>
  </w:style>
  <w:style w:type="paragraph" w:customStyle="1" w:styleId="TOCHeading">
    <w:name w:val="TOC Heading"/>
    <w:basedOn w:val="Titre1"/>
    <w:next w:val="Normal"/>
    <w:uiPriority w:val="39"/>
    <w:semiHidden/>
    <w:unhideWhenUsed/>
    <w:qFormat/>
    <w:rsid w:val="0097721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295">
      <w:bodyDiv w:val="1"/>
      <w:marLeft w:val="0"/>
      <w:marRight w:val="0"/>
      <w:marTop w:val="0"/>
      <w:marBottom w:val="0"/>
      <w:divBdr>
        <w:top w:val="none" w:sz="0" w:space="0" w:color="auto"/>
        <w:left w:val="none" w:sz="0" w:space="0" w:color="auto"/>
        <w:bottom w:val="none" w:sz="0" w:space="0" w:color="auto"/>
        <w:right w:val="none" w:sz="0" w:space="0" w:color="auto"/>
      </w:divBdr>
    </w:div>
    <w:div w:id="123694162">
      <w:bodyDiv w:val="1"/>
      <w:marLeft w:val="0"/>
      <w:marRight w:val="0"/>
      <w:marTop w:val="0"/>
      <w:marBottom w:val="0"/>
      <w:divBdr>
        <w:top w:val="none" w:sz="0" w:space="0" w:color="auto"/>
        <w:left w:val="none" w:sz="0" w:space="0" w:color="auto"/>
        <w:bottom w:val="none" w:sz="0" w:space="0" w:color="auto"/>
        <w:right w:val="none" w:sz="0" w:space="0" w:color="auto"/>
      </w:divBdr>
    </w:div>
    <w:div w:id="265967107">
      <w:bodyDiv w:val="1"/>
      <w:marLeft w:val="0"/>
      <w:marRight w:val="0"/>
      <w:marTop w:val="0"/>
      <w:marBottom w:val="0"/>
      <w:divBdr>
        <w:top w:val="none" w:sz="0" w:space="0" w:color="auto"/>
        <w:left w:val="none" w:sz="0" w:space="0" w:color="auto"/>
        <w:bottom w:val="none" w:sz="0" w:space="0" w:color="auto"/>
        <w:right w:val="none" w:sz="0" w:space="0" w:color="auto"/>
      </w:divBdr>
    </w:div>
    <w:div w:id="418599632">
      <w:bodyDiv w:val="1"/>
      <w:marLeft w:val="0"/>
      <w:marRight w:val="0"/>
      <w:marTop w:val="0"/>
      <w:marBottom w:val="0"/>
      <w:divBdr>
        <w:top w:val="none" w:sz="0" w:space="0" w:color="auto"/>
        <w:left w:val="none" w:sz="0" w:space="0" w:color="auto"/>
        <w:bottom w:val="none" w:sz="0" w:space="0" w:color="auto"/>
        <w:right w:val="none" w:sz="0" w:space="0" w:color="auto"/>
      </w:divBdr>
    </w:div>
    <w:div w:id="482936587">
      <w:bodyDiv w:val="1"/>
      <w:marLeft w:val="0"/>
      <w:marRight w:val="0"/>
      <w:marTop w:val="0"/>
      <w:marBottom w:val="0"/>
      <w:divBdr>
        <w:top w:val="none" w:sz="0" w:space="0" w:color="auto"/>
        <w:left w:val="none" w:sz="0" w:space="0" w:color="auto"/>
        <w:bottom w:val="none" w:sz="0" w:space="0" w:color="auto"/>
        <w:right w:val="none" w:sz="0" w:space="0" w:color="auto"/>
      </w:divBdr>
    </w:div>
    <w:div w:id="533008279">
      <w:bodyDiv w:val="1"/>
      <w:marLeft w:val="0"/>
      <w:marRight w:val="0"/>
      <w:marTop w:val="0"/>
      <w:marBottom w:val="0"/>
      <w:divBdr>
        <w:top w:val="none" w:sz="0" w:space="0" w:color="auto"/>
        <w:left w:val="none" w:sz="0" w:space="0" w:color="auto"/>
        <w:bottom w:val="none" w:sz="0" w:space="0" w:color="auto"/>
        <w:right w:val="none" w:sz="0" w:space="0" w:color="auto"/>
      </w:divBdr>
    </w:div>
    <w:div w:id="840317908">
      <w:bodyDiv w:val="1"/>
      <w:marLeft w:val="0"/>
      <w:marRight w:val="0"/>
      <w:marTop w:val="0"/>
      <w:marBottom w:val="0"/>
      <w:divBdr>
        <w:top w:val="none" w:sz="0" w:space="0" w:color="auto"/>
        <w:left w:val="none" w:sz="0" w:space="0" w:color="auto"/>
        <w:bottom w:val="none" w:sz="0" w:space="0" w:color="auto"/>
        <w:right w:val="none" w:sz="0" w:space="0" w:color="auto"/>
      </w:divBdr>
    </w:div>
    <w:div w:id="878005281">
      <w:bodyDiv w:val="1"/>
      <w:marLeft w:val="0"/>
      <w:marRight w:val="0"/>
      <w:marTop w:val="0"/>
      <w:marBottom w:val="0"/>
      <w:divBdr>
        <w:top w:val="none" w:sz="0" w:space="0" w:color="auto"/>
        <w:left w:val="none" w:sz="0" w:space="0" w:color="auto"/>
        <w:bottom w:val="none" w:sz="0" w:space="0" w:color="auto"/>
        <w:right w:val="none" w:sz="0" w:space="0" w:color="auto"/>
      </w:divBdr>
    </w:div>
    <w:div w:id="914516258">
      <w:bodyDiv w:val="1"/>
      <w:marLeft w:val="0"/>
      <w:marRight w:val="0"/>
      <w:marTop w:val="0"/>
      <w:marBottom w:val="0"/>
      <w:divBdr>
        <w:top w:val="none" w:sz="0" w:space="0" w:color="auto"/>
        <w:left w:val="none" w:sz="0" w:space="0" w:color="auto"/>
        <w:bottom w:val="none" w:sz="0" w:space="0" w:color="auto"/>
        <w:right w:val="none" w:sz="0" w:space="0" w:color="auto"/>
      </w:divBdr>
    </w:div>
    <w:div w:id="1069157356">
      <w:bodyDiv w:val="1"/>
      <w:marLeft w:val="0"/>
      <w:marRight w:val="0"/>
      <w:marTop w:val="0"/>
      <w:marBottom w:val="0"/>
      <w:divBdr>
        <w:top w:val="none" w:sz="0" w:space="0" w:color="auto"/>
        <w:left w:val="none" w:sz="0" w:space="0" w:color="auto"/>
        <w:bottom w:val="none" w:sz="0" w:space="0" w:color="auto"/>
        <w:right w:val="none" w:sz="0" w:space="0" w:color="auto"/>
      </w:divBdr>
    </w:div>
    <w:div w:id="1094058459">
      <w:bodyDiv w:val="1"/>
      <w:marLeft w:val="0"/>
      <w:marRight w:val="0"/>
      <w:marTop w:val="0"/>
      <w:marBottom w:val="0"/>
      <w:divBdr>
        <w:top w:val="none" w:sz="0" w:space="0" w:color="auto"/>
        <w:left w:val="none" w:sz="0" w:space="0" w:color="auto"/>
        <w:bottom w:val="none" w:sz="0" w:space="0" w:color="auto"/>
        <w:right w:val="none" w:sz="0" w:space="0" w:color="auto"/>
      </w:divBdr>
    </w:div>
    <w:div w:id="1096484131">
      <w:bodyDiv w:val="1"/>
      <w:marLeft w:val="0"/>
      <w:marRight w:val="0"/>
      <w:marTop w:val="0"/>
      <w:marBottom w:val="0"/>
      <w:divBdr>
        <w:top w:val="none" w:sz="0" w:space="0" w:color="auto"/>
        <w:left w:val="none" w:sz="0" w:space="0" w:color="auto"/>
        <w:bottom w:val="none" w:sz="0" w:space="0" w:color="auto"/>
        <w:right w:val="none" w:sz="0" w:space="0" w:color="auto"/>
      </w:divBdr>
    </w:div>
    <w:div w:id="1320110891">
      <w:bodyDiv w:val="1"/>
      <w:marLeft w:val="0"/>
      <w:marRight w:val="0"/>
      <w:marTop w:val="0"/>
      <w:marBottom w:val="0"/>
      <w:divBdr>
        <w:top w:val="none" w:sz="0" w:space="0" w:color="auto"/>
        <w:left w:val="none" w:sz="0" w:space="0" w:color="auto"/>
        <w:bottom w:val="none" w:sz="0" w:space="0" w:color="auto"/>
        <w:right w:val="none" w:sz="0" w:space="0" w:color="auto"/>
      </w:divBdr>
      <w:divsChild>
        <w:div w:id="1167668543">
          <w:marLeft w:val="0"/>
          <w:marRight w:val="0"/>
          <w:marTop w:val="0"/>
          <w:marBottom w:val="0"/>
          <w:divBdr>
            <w:top w:val="none" w:sz="0" w:space="0" w:color="auto"/>
            <w:left w:val="none" w:sz="0" w:space="0" w:color="auto"/>
            <w:bottom w:val="none" w:sz="0" w:space="0" w:color="auto"/>
            <w:right w:val="none" w:sz="0" w:space="0" w:color="auto"/>
          </w:divBdr>
          <w:divsChild>
            <w:div w:id="1310591856">
              <w:marLeft w:val="0"/>
              <w:marRight w:val="0"/>
              <w:marTop w:val="0"/>
              <w:marBottom w:val="0"/>
              <w:divBdr>
                <w:top w:val="none" w:sz="0" w:space="0" w:color="auto"/>
                <w:left w:val="none" w:sz="0" w:space="0" w:color="auto"/>
                <w:bottom w:val="none" w:sz="0" w:space="0" w:color="auto"/>
                <w:right w:val="none" w:sz="0" w:space="0" w:color="auto"/>
              </w:divBdr>
              <w:divsChild>
                <w:div w:id="2127893257">
                  <w:marLeft w:val="2928"/>
                  <w:marRight w:val="0"/>
                  <w:marTop w:val="720"/>
                  <w:marBottom w:val="0"/>
                  <w:divBdr>
                    <w:top w:val="none" w:sz="0" w:space="0" w:color="auto"/>
                    <w:left w:val="none" w:sz="0" w:space="0" w:color="auto"/>
                    <w:bottom w:val="none" w:sz="0" w:space="0" w:color="auto"/>
                    <w:right w:val="none" w:sz="0" w:space="0" w:color="auto"/>
                  </w:divBdr>
                  <w:divsChild>
                    <w:div w:id="17369407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76800978">
      <w:bodyDiv w:val="1"/>
      <w:marLeft w:val="0"/>
      <w:marRight w:val="0"/>
      <w:marTop w:val="0"/>
      <w:marBottom w:val="0"/>
      <w:divBdr>
        <w:top w:val="none" w:sz="0" w:space="0" w:color="auto"/>
        <w:left w:val="none" w:sz="0" w:space="0" w:color="auto"/>
        <w:bottom w:val="none" w:sz="0" w:space="0" w:color="auto"/>
        <w:right w:val="none" w:sz="0" w:space="0" w:color="auto"/>
      </w:divBdr>
    </w:div>
    <w:div w:id="1478457304">
      <w:bodyDiv w:val="1"/>
      <w:marLeft w:val="0"/>
      <w:marRight w:val="0"/>
      <w:marTop w:val="0"/>
      <w:marBottom w:val="0"/>
      <w:divBdr>
        <w:top w:val="none" w:sz="0" w:space="0" w:color="auto"/>
        <w:left w:val="none" w:sz="0" w:space="0" w:color="auto"/>
        <w:bottom w:val="none" w:sz="0" w:space="0" w:color="auto"/>
        <w:right w:val="none" w:sz="0" w:space="0" w:color="auto"/>
      </w:divBdr>
      <w:divsChild>
        <w:div w:id="1229532716">
          <w:marLeft w:val="0"/>
          <w:marRight w:val="0"/>
          <w:marTop w:val="0"/>
          <w:marBottom w:val="0"/>
          <w:divBdr>
            <w:top w:val="none" w:sz="0" w:space="0" w:color="auto"/>
            <w:left w:val="none" w:sz="0" w:space="0" w:color="auto"/>
            <w:bottom w:val="none" w:sz="0" w:space="0" w:color="auto"/>
            <w:right w:val="none" w:sz="0" w:space="0" w:color="auto"/>
          </w:divBdr>
          <w:divsChild>
            <w:div w:id="453601196">
              <w:marLeft w:val="0"/>
              <w:marRight w:val="0"/>
              <w:marTop w:val="0"/>
              <w:marBottom w:val="0"/>
              <w:divBdr>
                <w:top w:val="none" w:sz="0" w:space="0" w:color="auto"/>
                <w:left w:val="none" w:sz="0" w:space="0" w:color="auto"/>
                <w:bottom w:val="none" w:sz="0" w:space="0" w:color="auto"/>
                <w:right w:val="none" w:sz="0" w:space="0" w:color="auto"/>
              </w:divBdr>
              <w:divsChild>
                <w:div w:id="919873192">
                  <w:marLeft w:val="2928"/>
                  <w:marRight w:val="0"/>
                  <w:marTop w:val="720"/>
                  <w:marBottom w:val="0"/>
                  <w:divBdr>
                    <w:top w:val="none" w:sz="0" w:space="0" w:color="auto"/>
                    <w:left w:val="none" w:sz="0" w:space="0" w:color="auto"/>
                    <w:bottom w:val="none" w:sz="0" w:space="0" w:color="auto"/>
                    <w:right w:val="none" w:sz="0" w:space="0" w:color="auto"/>
                  </w:divBdr>
                  <w:divsChild>
                    <w:div w:id="24210277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02087650">
      <w:bodyDiv w:val="1"/>
      <w:marLeft w:val="0"/>
      <w:marRight w:val="0"/>
      <w:marTop w:val="0"/>
      <w:marBottom w:val="0"/>
      <w:divBdr>
        <w:top w:val="none" w:sz="0" w:space="0" w:color="auto"/>
        <w:left w:val="none" w:sz="0" w:space="0" w:color="auto"/>
        <w:bottom w:val="none" w:sz="0" w:space="0" w:color="auto"/>
        <w:right w:val="none" w:sz="0" w:space="0" w:color="auto"/>
      </w:divBdr>
    </w:div>
    <w:div w:id="1505364262">
      <w:bodyDiv w:val="1"/>
      <w:marLeft w:val="0"/>
      <w:marRight w:val="0"/>
      <w:marTop w:val="0"/>
      <w:marBottom w:val="0"/>
      <w:divBdr>
        <w:top w:val="none" w:sz="0" w:space="0" w:color="auto"/>
        <w:left w:val="none" w:sz="0" w:space="0" w:color="auto"/>
        <w:bottom w:val="none" w:sz="0" w:space="0" w:color="auto"/>
        <w:right w:val="none" w:sz="0" w:space="0" w:color="auto"/>
      </w:divBdr>
    </w:div>
    <w:div w:id="1595283389">
      <w:bodyDiv w:val="1"/>
      <w:marLeft w:val="0"/>
      <w:marRight w:val="0"/>
      <w:marTop w:val="0"/>
      <w:marBottom w:val="0"/>
      <w:divBdr>
        <w:top w:val="none" w:sz="0" w:space="0" w:color="auto"/>
        <w:left w:val="none" w:sz="0" w:space="0" w:color="auto"/>
        <w:bottom w:val="none" w:sz="0" w:space="0" w:color="auto"/>
        <w:right w:val="none" w:sz="0" w:space="0" w:color="auto"/>
      </w:divBdr>
    </w:div>
    <w:div w:id="1784299259">
      <w:bodyDiv w:val="1"/>
      <w:marLeft w:val="0"/>
      <w:marRight w:val="0"/>
      <w:marTop w:val="0"/>
      <w:marBottom w:val="0"/>
      <w:divBdr>
        <w:top w:val="none" w:sz="0" w:space="0" w:color="auto"/>
        <w:left w:val="none" w:sz="0" w:space="0" w:color="auto"/>
        <w:bottom w:val="none" w:sz="0" w:space="0" w:color="auto"/>
        <w:right w:val="none" w:sz="0" w:space="0" w:color="auto"/>
      </w:divBdr>
    </w:div>
    <w:div w:id="1904488845">
      <w:bodyDiv w:val="1"/>
      <w:marLeft w:val="0"/>
      <w:marRight w:val="0"/>
      <w:marTop w:val="0"/>
      <w:marBottom w:val="0"/>
      <w:divBdr>
        <w:top w:val="none" w:sz="0" w:space="0" w:color="auto"/>
        <w:left w:val="none" w:sz="0" w:space="0" w:color="auto"/>
        <w:bottom w:val="none" w:sz="0" w:space="0" w:color="auto"/>
        <w:right w:val="none" w:sz="0" w:space="0" w:color="auto"/>
      </w:divBdr>
    </w:div>
    <w:div w:id="1980764570">
      <w:bodyDiv w:val="1"/>
      <w:marLeft w:val="0"/>
      <w:marRight w:val="0"/>
      <w:marTop w:val="0"/>
      <w:marBottom w:val="0"/>
      <w:divBdr>
        <w:top w:val="none" w:sz="0" w:space="0" w:color="auto"/>
        <w:left w:val="none" w:sz="0" w:space="0" w:color="auto"/>
        <w:bottom w:val="none" w:sz="0" w:space="0" w:color="auto"/>
        <w:right w:val="none" w:sz="0" w:space="0" w:color="auto"/>
      </w:divBdr>
      <w:divsChild>
        <w:div w:id="1723864515">
          <w:marLeft w:val="0"/>
          <w:marRight w:val="0"/>
          <w:marTop w:val="0"/>
          <w:marBottom w:val="0"/>
          <w:divBdr>
            <w:top w:val="none" w:sz="0" w:space="0" w:color="auto"/>
            <w:left w:val="none" w:sz="0" w:space="0" w:color="auto"/>
            <w:bottom w:val="none" w:sz="0" w:space="0" w:color="auto"/>
            <w:right w:val="none" w:sz="0" w:space="0" w:color="auto"/>
          </w:divBdr>
          <w:divsChild>
            <w:div w:id="1071973042">
              <w:marLeft w:val="0"/>
              <w:marRight w:val="0"/>
              <w:marTop w:val="0"/>
              <w:marBottom w:val="0"/>
              <w:divBdr>
                <w:top w:val="none" w:sz="0" w:space="0" w:color="auto"/>
                <w:left w:val="none" w:sz="0" w:space="0" w:color="auto"/>
                <w:bottom w:val="none" w:sz="0" w:space="0" w:color="auto"/>
                <w:right w:val="none" w:sz="0" w:space="0" w:color="auto"/>
              </w:divBdr>
              <w:divsChild>
                <w:div w:id="1494711743">
                  <w:marLeft w:val="2928"/>
                  <w:marRight w:val="0"/>
                  <w:marTop w:val="720"/>
                  <w:marBottom w:val="0"/>
                  <w:divBdr>
                    <w:top w:val="none" w:sz="0" w:space="0" w:color="auto"/>
                    <w:left w:val="none" w:sz="0" w:space="0" w:color="auto"/>
                    <w:bottom w:val="none" w:sz="0" w:space="0" w:color="auto"/>
                    <w:right w:val="none" w:sz="0" w:space="0" w:color="auto"/>
                  </w:divBdr>
                  <w:divsChild>
                    <w:div w:id="2760683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520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/sftpecos/Dossiers_parlementaires/5936/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B76F44E-70D9-4F2E-BD18-4477C10B0AEB}">
  <ds:schemaRefs>
    <ds:schemaRef ds:uri="http://schemas.openxmlformats.org/officeDocument/2006/bibliography"/>
  </ds:schemaRefs>
</ds:datastoreItem>
</file>

<file path=customXml/itemProps2.xml><?xml version="1.0" encoding="utf-8"?>
<ds:datastoreItem xmlns:ds="http://schemas.openxmlformats.org/officeDocument/2006/customXml" ds:itemID="{78A07E5A-7FBD-4094-9003-8F2D8820C042}"/>
</file>

<file path=customXml/itemProps3.xml><?xml version="1.0" encoding="utf-8"?>
<ds:datastoreItem xmlns:ds="http://schemas.openxmlformats.org/officeDocument/2006/customXml" ds:itemID="{551A5464-AFF7-41B2-A3E9-FA48C45C9892}"/>
</file>

<file path=customXml/itemProps4.xml><?xml version="1.0" encoding="utf-8"?>
<ds:datastoreItem xmlns:ds="http://schemas.openxmlformats.org/officeDocument/2006/customXml" ds:itemID="{37989FEF-F290-42C2-AFDD-F73CF6DABDC3}"/>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3279</Characters>
  <Application>Microsoft Office Word</Application>
  <DocSecurity>4</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5121</vt:lpstr>
      <vt:lpstr>N° 5121</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cp:lastModifiedBy>SYSTEM</cp:lastModifiedBy>
  <cp:revision>2</cp:revision>
  <cp:lastPrinted>2009-04-30T10:00:00Z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