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BC" w:rsidRPr="008B5D86" w:rsidRDefault="00592DBC" w:rsidP="00592DB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B5D86">
        <w:rPr>
          <w:rFonts w:ascii="Arial" w:hAnsi="Arial" w:cs="Arial"/>
          <w:b/>
          <w:sz w:val="28"/>
          <w:szCs w:val="28"/>
        </w:rPr>
        <w:t xml:space="preserve">N° </w:t>
      </w:r>
      <w:r w:rsidR="002D7801" w:rsidRPr="008B5D86">
        <w:rPr>
          <w:rFonts w:ascii="Arial" w:hAnsi="Arial" w:cs="Arial"/>
          <w:b/>
          <w:sz w:val="28"/>
          <w:szCs w:val="28"/>
        </w:rPr>
        <w:t>5907</w:t>
      </w:r>
    </w:p>
    <w:p w:rsidR="00255463" w:rsidRPr="008B5D86" w:rsidRDefault="00255463" w:rsidP="006C0DA4">
      <w:pPr>
        <w:jc w:val="center"/>
        <w:rPr>
          <w:rFonts w:ascii="Arial" w:hAnsi="Arial" w:cs="Arial"/>
          <w:b/>
          <w:sz w:val="28"/>
          <w:szCs w:val="28"/>
        </w:rPr>
      </w:pPr>
    </w:p>
    <w:p w:rsidR="002D7801" w:rsidRPr="008B5D86" w:rsidRDefault="002D7801" w:rsidP="002D7801">
      <w:pPr>
        <w:jc w:val="center"/>
        <w:rPr>
          <w:rFonts w:ascii="Arial" w:hAnsi="Arial" w:cs="Arial"/>
          <w:b/>
          <w:snapToGrid w:val="0"/>
          <w:sz w:val="28"/>
          <w:szCs w:val="28"/>
          <w:lang w:val="fr-LU" w:eastAsia="en-US"/>
        </w:rPr>
      </w:pPr>
      <w:r w:rsidRPr="008B5D86">
        <w:rPr>
          <w:rFonts w:ascii="Arial" w:hAnsi="Arial" w:cs="Arial"/>
          <w:b/>
          <w:snapToGrid w:val="0"/>
          <w:sz w:val="28"/>
          <w:szCs w:val="28"/>
          <w:lang w:val="fr-LU" w:eastAsia="en-US"/>
        </w:rPr>
        <w:t xml:space="preserve">Projet de loi </w:t>
      </w:r>
    </w:p>
    <w:p w:rsidR="002D7801" w:rsidRPr="008B5D86" w:rsidRDefault="002D7801" w:rsidP="002D7801">
      <w:pPr>
        <w:pBdr>
          <w:bottom w:val="single" w:sz="12" w:space="1" w:color="auto"/>
        </w:pBdr>
        <w:tabs>
          <w:tab w:val="left" w:pos="1440"/>
        </w:tabs>
        <w:ind w:left="1440" w:hanging="1440"/>
        <w:jc w:val="both"/>
        <w:rPr>
          <w:rFonts w:ascii="Arial" w:hAnsi="Arial" w:cs="Arial"/>
          <w:b/>
          <w:sz w:val="28"/>
          <w:szCs w:val="28"/>
          <w:lang w:val="fr-LU"/>
        </w:rPr>
      </w:pPr>
      <w:r w:rsidRPr="008B5D86">
        <w:rPr>
          <w:rFonts w:ascii="Arial" w:hAnsi="Arial" w:cs="Arial"/>
          <w:b/>
          <w:sz w:val="28"/>
          <w:szCs w:val="28"/>
          <w:lang w:val="fr-LU"/>
        </w:rPr>
        <w:t>insérant un article 442-2 dans le Code pénal en vue d’incriminer le harcèlement obsessionnel</w:t>
      </w:r>
    </w:p>
    <w:p w:rsidR="002D7801" w:rsidRPr="008B5D86" w:rsidRDefault="002D7801" w:rsidP="002D7801">
      <w:pPr>
        <w:pBdr>
          <w:bottom w:val="single" w:sz="12" w:space="1" w:color="auto"/>
        </w:pBdr>
        <w:tabs>
          <w:tab w:val="left" w:pos="1440"/>
        </w:tabs>
        <w:ind w:left="1440" w:hanging="1440"/>
        <w:jc w:val="both"/>
        <w:rPr>
          <w:rFonts w:ascii="Arial" w:hAnsi="Arial" w:cs="Arial"/>
          <w:b/>
          <w:sz w:val="32"/>
          <w:szCs w:val="32"/>
          <w:lang w:val="fr-LU"/>
        </w:rPr>
      </w:pPr>
    </w:p>
    <w:p w:rsidR="006C0DA4" w:rsidRPr="008B5D86" w:rsidRDefault="006C0DA4" w:rsidP="006C0DA4">
      <w:pPr>
        <w:jc w:val="both"/>
        <w:rPr>
          <w:rFonts w:ascii="Arial" w:hAnsi="Arial" w:cs="Arial"/>
        </w:rPr>
      </w:pPr>
    </w:p>
    <w:p w:rsidR="00255463" w:rsidRPr="008B5D86" w:rsidRDefault="00255463" w:rsidP="002554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5D86">
        <w:rPr>
          <w:rFonts w:ascii="Arial" w:hAnsi="Arial" w:cs="Arial"/>
          <w:b/>
          <w:sz w:val="28"/>
          <w:szCs w:val="28"/>
          <w:u w:val="single"/>
        </w:rPr>
        <w:t>Résumé</w:t>
      </w:r>
    </w:p>
    <w:p w:rsidR="006C0DA4" w:rsidRPr="008B5D86" w:rsidRDefault="006C0DA4" w:rsidP="006C0DA4">
      <w:pPr>
        <w:jc w:val="both"/>
        <w:rPr>
          <w:rFonts w:ascii="Arial" w:hAnsi="Arial" w:cs="Arial"/>
        </w:rPr>
      </w:pPr>
    </w:p>
    <w:p w:rsidR="008B5D86" w:rsidRPr="008E5142" w:rsidRDefault="008B5D86" w:rsidP="008B5D86">
      <w:pPr>
        <w:pStyle w:val="Default"/>
        <w:jc w:val="center"/>
        <w:rPr>
          <w:u w:val="single"/>
        </w:rPr>
      </w:pPr>
      <w:r w:rsidRPr="008E5142">
        <w:rPr>
          <w:u w:val="single"/>
        </w:rPr>
        <w:t>1. L’incrimination d</w:t>
      </w:r>
      <w:r>
        <w:rPr>
          <w:u w:val="single"/>
        </w:rPr>
        <w:t xml:space="preserve">u </w:t>
      </w:r>
      <w:r w:rsidRPr="008E5142">
        <w:rPr>
          <w:u w:val="single"/>
        </w:rPr>
        <w:t>harcèlement obsessionnel</w:t>
      </w:r>
    </w:p>
    <w:p w:rsidR="008B5D86" w:rsidRDefault="008B5D86" w:rsidP="008B5D86">
      <w:pPr>
        <w:pStyle w:val="Default"/>
        <w:jc w:val="both"/>
        <w:rPr>
          <w:sz w:val="22"/>
          <w:szCs w:val="22"/>
        </w:rPr>
      </w:pPr>
    </w:p>
    <w:p w:rsidR="008B5D86" w:rsidRDefault="008B5D86" w:rsidP="008B5D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 projet de loi vise à incriminer la pratique du harcèlement obsessionnel, désigné plus communément par le terme anglais « stalking ». Comme l’a relevé le Conseil d’Etat dans son avis du 17 février 2009, le terme « stalking » est emprunté du jargon de la chasse et signifie littéralement s’approcher à pas feutré.</w:t>
      </w:r>
    </w:p>
    <w:p w:rsidR="008B5D86" w:rsidRDefault="008B5D86" w:rsidP="008B5D86">
      <w:pPr>
        <w:pStyle w:val="Default"/>
        <w:rPr>
          <w:sz w:val="22"/>
          <w:szCs w:val="22"/>
        </w:rPr>
      </w:pPr>
    </w:p>
    <w:p w:rsidR="008B5D86" w:rsidRPr="00F62DA9" w:rsidRDefault="008B5D86" w:rsidP="008B5D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Pr="00912750">
        <w:rPr>
          <w:sz w:val="22"/>
          <w:szCs w:val="22"/>
        </w:rPr>
        <w:t>Département fédéral de l’intérieur</w:t>
      </w:r>
      <w:r>
        <w:rPr>
          <w:sz w:val="22"/>
          <w:szCs w:val="22"/>
        </w:rPr>
        <w:t xml:space="preserve">, </w:t>
      </w:r>
      <w:r w:rsidRPr="00F62DA9">
        <w:rPr>
          <w:bCs/>
          <w:sz w:val="22"/>
          <w:szCs w:val="22"/>
        </w:rPr>
        <w:t>Bureau fédéral de l’égalité entre femmes et hommes</w:t>
      </w:r>
      <w:r>
        <w:rPr>
          <w:bCs/>
          <w:sz w:val="22"/>
          <w:szCs w:val="22"/>
        </w:rPr>
        <w:t xml:space="preserve">, </w:t>
      </w:r>
      <w:r w:rsidRPr="00F62DA9">
        <w:rPr>
          <w:sz w:val="22"/>
          <w:szCs w:val="22"/>
        </w:rPr>
        <w:t>Service de lutte contre la violence</w:t>
      </w:r>
      <w:r>
        <w:rPr>
          <w:sz w:val="22"/>
          <w:szCs w:val="22"/>
        </w:rPr>
        <w:t xml:space="preserve"> de la Confédération suisse définit dans sa feuille d’information 10 « </w:t>
      </w:r>
      <w:r w:rsidRPr="00F62DA9">
        <w:rPr>
          <w:bCs/>
          <w:sz w:val="22"/>
          <w:szCs w:val="22"/>
        </w:rPr>
        <w:t>Stalking : Harcèlement obsessionnel</w:t>
      </w:r>
      <w:r>
        <w:rPr>
          <w:bCs/>
          <w:sz w:val="22"/>
          <w:szCs w:val="22"/>
        </w:rPr>
        <w:t> » l’harcèlement obsessionnel comme suit :</w:t>
      </w:r>
      <w:r w:rsidRPr="00F62DA9">
        <w:rPr>
          <w:bCs/>
          <w:sz w:val="22"/>
          <w:szCs w:val="22"/>
        </w:rPr>
        <w:t xml:space="preserve"> </w:t>
      </w:r>
    </w:p>
    <w:p w:rsidR="008B5D86" w:rsidRDefault="008B5D86" w:rsidP="008B5D86">
      <w:pPr>
        <w:pStyle w:val="Default"/>
        <w:jc w:val="both"/>
        <w:rPr>
          <w:sz w:val="22"/>
          <w:szCs w:val="22"/>
        </w:rPr>
      </w:pPr>
    </w:p>
    <w:p w:rsidR="008B5D86" w:rsidRDefault="008B5D86" w:rsidP="008B5D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12750">
        <w:rPr>
          <w:sz w:val="22"/>
          <w:szCs w:val="22"/>
        </w:rPr>
        <w:t>le fait de persécuter et de harceler une personne à dessein et de façon réitérée, menaçant ainsi son intégrité physique ou psychique et lui faisant du tort directement, indirect</w:t>
      </w:r>
      <w:r>
        <w:rPr>
          <w:sz w:val="22"/>
          <w:szCs w:val="22"/>
        </w:rPr>
        <w:t>ement, à court ou à long terme,</w:t>
      </w:r>
    </w:p>
    <w:p w:rsidR="008B5D86" w:rsidRDefault="008B5D86" w:rsidP="008B5D86">
      <w:pPr>
        <w:pStyle w:val="Default"/>
        <w:jc w:val="both"/>
        <w:rPr>
          <w:sz w:val="22"/>
          <w:szCs w:val="22"/>
        </w:rPr>
      </w:pPr>
    </w:p>
    <w:p w:rsidR="008B5D86" w:rsidRPr="00912750" w:rsidRDefault="008B5D86" w:rsidP="008B5D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l</w:t>
      </w:r>
      <w:r w:rsidRPr="00912750">
        <w:rPr>
          <w:sz w:val="22"/>
          <w:szCs w:val="22"/>
        </w:rPr>
        <w:t xml:space="preserve">e harcèlement obsessionnel englobe des faits de gravité très différente qui peuvent aller d’une recherche insistante d’attention, jusqu’au terrorisme psychologique durable. </w:t>
      </w:r>
    </w:p>
    <w:p w:rsidR="008B5D86" w:rsidRDefault="008B5D86" w:rsidP="008B5D86">
      <w:pPr>
        <w:pStyle w:val="Default"/>
        <w:jc w:val="both"/>
        <w:rPr>
          <w:sz w:val="22"/>
          <w:szCs w:val="22"/>
        </w:rPr>
      </w:pPr>
    </w:p>
    <w:p w:rsidR="008B5D86" w:rsidRPr="00912750" w:rsidRDefault="008B5D86" w:rsidP="008B5D86">
      <w:pPr>
        <w:pStyle w:val="Default"/>
        <w:jc w:val="both"/>
        <w:rPr>
          <w:sz w:val="22"/>
          <w:szCs w:val="22"/>
        </w:rPr>
      </w:pPr>
    </w:p>
    <w:p w:rsidR="008B5D86" w:rsidRPr="008E5142" w:rsidRDefault="008B5D86" w:rsidP="008B5D86">
      <w:pPr>
        <w:pStyle w:val="Default"/>
        <w:jc w:val="center"/>
        <w:rPr>
          <w:u w:val="single"/>
        </w:rPr>
      </w:pPr>
      <w:r w:rsidRPr="008E5142">
        <w:rPr>
          <w:bCs/>
          <w:u w:val="single"/>
        </w:rPr>
        <w:t>2. Les personnes qui harcèlent, leurs buts et motifs</w:t>
      </w:r>
    </w:p>
    <w:p w:rsidR="008B5D86" w:rsidRDefault="008B5D86" w:rsidP="008B5D86">
      <w:pPr>
        <w:pStyle w:val="Default"/>
        <w:jc w:val="both"/>
        <w:rPr>
          <w:sz w:val="22"/>
          <w:szCs w:val="22"/>
        </w:rPr>
      </w:pPr>
    </w:p>
    <w:p w:rsidR="008B5D86" w:rsidRDefault="008B5D86" w:rsidP="008B5D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Malgré que les auteurs du harcèlement obsessionnel, communément appelés les « stalkers », appartiennent en majorité au sexe masculin, toutes les constellations auteur- victime sont possibles, à savoir : </w:t>
      </w:r>
      <w:r w:rsidRPr="00912750">
        <w:rPr>
          <w:sz w:val="22"/>
          <w:szCs w:val="22"/>
        </w:rPr>
        <w:t xml:space="preserve">homme-femme, femme-homme, homme-homme, femme-femme. </w:t>
      </w:r>
    </w:p>
    <w:p w:rsidR="008B5D86" w:rsidRDefault="008B5D86" w:rsidP="008B5D86">
      <w:pPr>
        <w:pStyle w:val="Default"/>
        <w:jc w:val="both"/>
        <w:rPr>
          <w:sz w:val="22"/>
          <w:szCs w:val="22"/>
        </w:rPr>
      </w:pPr>
    </w:p>
    <w:p w:rsidR="008B5D86" w:rsidRDefault="008B5D86" w:rsidP="008B5D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912750">
        <w:rPr>
          <w:sz w:val="22"/>
          <w:szCs w:val="22"/>
        </w:rPr>
        <w:t>e plus souvent</w:t>
      </w:r>
      <w:r>
        <w:rPr>
          <w:sz w:val="22"/>
          <w:szCs w:val="22"/>
        </w:rPr>
        <w:t>, il s’agit, quant à l’auteur, d</w:t>
      </w:r>
      <w:r w:rsidRPr="00912750">
        <w:rPr>
          <w:sz w:val="22"/>
          <w:szCs w:val="22"/>
        </w:rPr>
        <w:t xml:space="preserve">e soupirants éconduits ou de partenaires faisant face à une rupture amoureuse. </w:t>
      </w:r>
      <w:r>
        <w:rPr>
          <w:sz w:val="22"/>
          <w:szCs w:val="22"/>
        </w:rPr>
        <w:t xml:space="preserve">Il est plus rare que </w:t>
      </w:r>
      <w:r w:rsidRPr="00912750">
        <w:rPr>
          <w:sz w:val="22"/>
          <w:szCs w:val="22"/>
        </w:rPr>
        <w:t>l’auteur n’est pas connu de la victime ou appartient à son entourage personnel ou professionnel, mais agit dans un complet anonymat. L</w:t>
      </w:r>
      <w:r>
        <w:rPr>
          <w:sz w:val="22"/>
          <w:szCs w:val="22"/>
        </w:rPr>
        <w:t xml:space="preserve">’auteur peut </w:t>
      </w:r>
      <w:r w:rsidRPr="00912750">
        <w:rPr>
          <w:sz w:val="22"/>
          <w:szCs w:val="22"/>
        </w:rPr>
        <w:t>aussi être un</w:t>
      </w:r>
      <w:r>
        <w:rPr>
          <w:sz w:val="22"/>
          <w:szCs w:val="22"/>
        </w:rPr>
        <w:t xml:space="preserve"> </w:t>
      </w:r>
      <w:r w:rsidRPr="00912750">
        <w:rPr>
          <w:sz w:val="22"/>
          <w:szCs w:val="22"/>
        </w:rPr>
        <w:t>voisi</w:t>
      </w:r>
      <w:r>
        <w:rPr>
          <w:sz w:val="22"/>
          <w:szCs w:val="22"/>
        </w:rPr>
        <w:t>n</w:t>
      </w:r>
      <w:r w:rsidRPr="00912750">
        <w:rPr>
          <w:sz w:val="22"/>
          <w:szCs w:val="22"/>
        </w:rPr>
        <w:t xml:space="preserve">, un collègue de travail, un fan ou un client de la personne concernée. </w:t>
      </w:r>
    </w:p>
    <w:p w:rsidR="008B5D86" w:rsidRDefault="008B5D86" w:rsidP="008B5D86">
      <w:pPr>
        <w:pStyle w:val="Default"/>
        <w:jc w:val="both"/>
        <w:rPr>
          <w:sz w:val="22"/>
          <w:szCs w:val="22"/>
        </w:rPr>
      </w:pPr>
    </w:p>
    <w:p w:rsidR="008B5D86" w:rsidRDefault="008B5D86" w:rsidP="008B5D86">
      <w:pPr>
        <w:pStyle w:val="Default"/>
        <w:jc w:val="both"/>
        <w:rPr>
          <w:sz w:val="22"/>
          <w:szCs w:val="22"/>
        </w:rPr>
      </w:pPr>
      <w:r w:rsidRPr="00912750">
        <w:rPr>
          <w:sz w:val="22"/>
          <w:szCs w:val="22"/>
        </w:rPr>
        <w:t>Le harcèlement obsessionnel vise la plupart</w:t>
      </w:r>
      <w:r w:rsidRPr="00B60779">
        <w:rPr>
          <w:sz w:val="22"/>
          <w:szCs w:val="22"/>
        </w:rPr>
        <w:t xml:space="preserve"> </w:t>
      </w:r>
      <w:r w:rsidRPr="00912750">
        <w:rPr>
          <w:sz w:val="22"/>
          <w:szCs w:val="22"/>
        </w:rPr>
        <w:t>du temps à obtenir de la victime davantage d’attention ou de proximité</w:t>
      </w:r>
      <w:r w:rsidRPr="00B60779">
        <w:rPr>
          <w:sz w:val="22"/>
          <w:szCs w:val="22"/>
        </w:rPr>
        <w:t xml:space="preserve"> </w:t>
      </w:r>
      <w:r w:rsidRPr="00912750">
        <w:rPr>
          <w:sz w:val="22"/>
          <w:szCs w:val="22"/>
        </w:rPr>
        <w:t>ou à modifier son comportement (</w:t>
      </w:r>
      <w:r>
        <w:rPr>
          <w:sz w:val="22"/>
          <w:szCs w:val="22"/>
        </w:rPr>
        <w:t>comme</w:t>
      </w:r>
      <w:r w:rsidRPr="009127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 </w:t>
      </w:r>
      <w:r w:rsidRPr="00912750">
        <w:rPr>
          <w:sz w:val="22"/>
          <w:szCs w:val="22"/>
        </w:rPr>
        <w:t xml:space="preserve">reprise de l’ancienne relation, </w:t>
      </w:r>
      <w:r>
        <w:rPr>
          <w:sz w:val="22"/>
          <w:szCs w:val="22"/>
        </w:rPr>
        <w:t xml:space="preserve">le </w:t>
      </w:r>
      <w:r w:rsidRPr="00912750">
        <w:rPr>
          <w:sz w:val="22"/>
          <w:szCs w:val="22"/>
        </w:rPr>
        <w:t>retrait</w:t>
      </w:r>
      <w:r w:rsidRPr="00B60779">
        <w:rPr>
          <w:sz w:val="22"/>
          <w:szCs w:val="22"/>
        </w:rPr>
        <w:t xml:space="preserve"> </w:t>
      </w:r>
      <w:r w:rsidRPr="00912750">
        <w:rPr>
          <w:sz w:val="22"/>
          <w:szCs w:val="22"/>
        </w:rPr>
        <w:t xml:space="preserve">du licenciement prononcé). </w:t>
      </w:r>
    </w:p>
    <w:p w:rsidR="008B5D86" w:rsidRDefault="008B5D86" w:rsidP="008B5D86">
      <w:pPr>
        <w:pStyle w:val="Default"/>
        <w:jc w:val="both"/>
        <w:rPr>
          <w:sz w:val="22"/>
          <w:szCs w:val="22"/>
        </w:rPr>
      </w:pPr>
    </w:p>
    <w:p w:rsidR="008B5D86" w:rsidRDefault="008B5D86" w:rsidP="008B5D86">
      <w:pPr>
        <w:pStyle w:val="Default"/>
        <w:jc w:val="both"/>
        <w:rPr>
          <w:sz w:val="22"/>
          <w:szCs w:val="22"/>
        </w:rPr>
      </w:pPr>
      <w:r w:rsidRPr="00912750">
        <w:rPr>
          <w:sz w:val="22"/>
          <w:szCs w:val="22"/>
        </w:rPr>
        <w:t xml:space="preserve">Un </w:t>
      </w:r>
      <w:r w:rsidRPr="00912750">
        <w:rPr>
          <w:i/>
          <w:iCs/>
          <w:sz w:val="22"/>
          <w:szCs w:val="22"/>
        </w:rPr>
        <w:t xml:space="preserve">mobbing </w:t>
      </w:r>
      <w:r w:rsidRPr="00912750">
        <w:rPr>
          <w:sz w:val="22"/>
          <w:szCs w:val="22"/>
        </w:rPr>
        <w:t>sur le lieu de travail peut se transformer</w:t>
      </w:r>
      <w:r w:rsidRPr="00B60779">
        <w:rPr>
          <w:sz w:val="22"/>
          <w:szCs w:val="22"/>
        </w:rPr>
        <w:t xml:space="preserve"> </w:t>
      </w:r>
      <w:r w:rsidRPr="00912750">
        <w:rPr>
          <w:sz w:val="22"/>
          <w:szCs w:val="22"/>
        </w:rPr>
        <w:t>en harcèlement obsessionnel, même longtemps après que la victime ait quitté l’entreprise. La vengeance</w:t>
      </w:r>
      <w:r w:rsidRPr="00B60779">
        <w:rPr>
          <w:sz w:val="22"/>
          <w:szCs w:val="22"/>
        </w:rPr>
        <w:t xml:space="preserve"> </w:t>
      </w:r>
      <w:r w:rsidRPr="00912750">
        <w:rPr>
          <w:sz w:val="22"/>
          <w:szCs w:val="22"/>
        </w:rPr>
        <w:t>constitue parfois un autre motif. Le harcèlement obsessionnel a pour but essentiel de causer des dommag</w:t>
      </w:r>
      <w:r>
        <w:rPr>
          <w:sz w:val="22"/>
          <w:szCs w:val="22"/>
        </w:rPr>
        <w:t>es psychiques ou psychosociaux.</w:t>
      </w:r>
    </w:p>
    <w:p w:rsidR="008B5D86" w:rsidRDefault="008B5D86" w:rsidP="008B5D86">
      <w:pPr>
        <w:pStyle w:val="Default"/>
        <w:pageBreakBefore/>
        <w:jc w:val="both"/>
        <w:rPr>
          <w:sz w:val="22"/>
          <w:szCs w:val="22"/>
        </w:rPr>
      </w:pPr>
      <w:r w:rsidRPr="003462AB">
        <w:rPr>
          <w:sz w:val="22"/>
          <w:szCs w:val="22"/>
        </w:rPr>
        <w:lastRenderedPageBreak/>
        <w:t>La Commission juridique estime utile que le rapport d’activité annuel de la Police Grand-ducal mentionne expressis verbis le nombre des plaintes reçues pour harcèlement obsessionnel.</w:t>
      </w:r>
      <w:r>
        <w:rPr>
          <w:sz w:val="22"/>
          <w:szCs w:val="22"/>
        </w:rPr>
        <w:t xml:space="preserve">   </w:t>
      </w:r>
    </w:p>
    <w:p w:rsidR="008B5D86" w:rsidRDefault="008B5D86" w:rsidP="008B5D86">
      <w:pPr>
        <w:pStyle w:val="Default"/>
        <w:jc w:val="both"/>
        <w:rPr>
          <w:sz w:val="22"/>
          <w:szCs w:val="22"/>
        </w:rPr>
      </w:pPr>
    </w:p>
    <w:p w:rsidR="008B5D86" w:rsidRDefault="008B5D86" w:rsidP="008B5D86">
      <w:pPr>
        <w:pStyle w:val="Default"/>
        <w:jc w:val="both"/>
        <w:rPr>
          <w:sz w:val="22"/>
          <w:szCs w:val="22"/>
        </w:rPr>
      </w:pPr>
    </w:p>
    <w:p w:rsidR="008B5D86" w:rsidRPr="00CD2312" w:rsidRDefault="008B5D86" w:rsidP="008B5D86">
      <w:pPr>
        <w:pStyle w:val="Default"/>
        <w:jc w:val="center"/>
        <w:rPr>
          <w:u w:val="single"/>
        </w:rPr>
      </w:pPr>
      <w:r>
        <w:rPr>
          <w:bCs/>
          <w:u w:val="single"/>
        </w:rPr>
        <w:t>3</w:t>
      </w:r>
      <w:r w:rsidRPr="00CD2312">
        <w:rPr>
          <w:bCs/>
          <w:u w:val="single"/>
        </w:rPr>
        <w:t>. Droit comparé</w:t>
      </w:r>
    </w:p>
    <w:p w:rsidR="008B5D86" w:rsidRDefault="008B5D86" w:rsidP="008B5D86">
      <w:pPr>
        <w:pStyle w:val="Default"/>
        <w:jc w:val="both"/>
        <w:rPr>
          <w:sz w:val="22"/>
          <w:szCs w:val="22"/>
        </w:rPr>
      </w:pPr>
    </w:p>
    <w:p w:rsidR="008B5D86" w:rsidRPr="00CD2312" w:rsidRDefault="008B5D86" w:rsidP="008B5D86">
      <w:pPr>
        <w:pStyle w:val="Default"/>
        <w:jc w:val="both"/>
        <w:rPr>
          <w:sz w:val="22"/>
          <w:szCs w:val="22"/>
        </w:rPr>
      </w:pPr>
      <w:r w:rsidRPr="00CD2312">
        <w:rPr>
          <w:sz w:val="22"/>
          <w:szCs w:val="22"/>
        </w:rPr>
        <w:t xml:space="preserve">La plupart des pays industriels </w:t>
      </w:r>
      <w:r>
        <w:rPr>
          <w:sz w:val="22"/>
          <w:szCs w:val="22"/>
        </w:rPr>
        <w:t xml:space="preserve">répriment, soit par le biais de dispositions légales spécifiques, soit par l’incrimination de certains comportements, le harcèlement. </w:t>
      </w:r>
    </w:p>
    <w:p w:rsidR="008B5D86" w:rsidRDefault="008B5D86" w:rsidP="008B5D86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8B5D86" w:rsidRPr="00FA01D2" w:rsidRDefault="008B5D86" w:rsidP="008B5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FA01D2">
        <w:rPr>
          <w:rFonts w:ascii="Arial" w:hAnsi="Arial" w:cs="Arial"/>
          <w:sz w:val="22"/>
          <w:szCs w:val="22"/>
          <w:lang w:val="fr-LU" w:eastAsia="fr-LU"/>
        </w:rPr>
        <w:t>En Suisse, le harcèlement obsessionnel n’est pas une infraction en tant que telle. Il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A01D2">
        <w:rPr>
          <w:rFonts w:ascii="Arial" w:hAnsi="Arial" w:cs="Arial"/>
          <w:sz w:val="22"/>
          <w:szCs w:val="22"/>
          <w:lang w:val="fr-LU" w:eastAsia="fr-LU"/>
        </w:rPr>
        <w:t>peut néanmoins être réprimé p</w:t>
      </w:r>
      <w:r>
        <w:rPr>
          <w:rFonts w:ascii="Arial" w:hAnsi="Arial" w:cs="Arial"/>
          <w:sz w:val="22"/>
          <w:szCs w:val="22"/>
          <w:lang w:val="fr-LU" w:eastAsia="fr-LU"/>
        </w:rPr>
        <w:t>énalement dans sa globalité ou à</w:t>
      </w:r>
      <w:r w:rsidRPr="00FA01D2">
        <w:rPr>
          <w:rFonts w:ascii="Arial" w:hAnsi="Arial" w:cs="Arial"/>
          <w:sz w:val="22"/>
          <w:szCs w:val="22"/>
          <w:lang w:val="fr-LU" w:eastAsia="fr-LU"/>
        </w:rPr>
        <w:t xml:space="preserve"> travers certains comportements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A01D2">
        <w:rPr>
          <w:rFonts w:ascii="Arial" w:hAnsi="Arial" w:cs="Arial"/>
          <w:sz w:val="22"/>
          <w:szCs w:val="22"/>
          <w:lang w:val="fr-LU" w:eastAsia="fr-LU"/>
        </w:rPr>
        <w:t>constituant le harcèlement.</w:t>
      </w:r>
    </w:p>
    <w:p w:rsidR="008B5D86" w:rsidRDefault="008B5D86" w:rsidP="008B5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8B5D86" w:rsidRPr="00FA01D2" w:rsidRDefault="008B5D86" w:rsidP="008B5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FA01D2">
        <w:rPr>
          <w:rFonts w:ascii="Arial" w:hAnsi="Arial" w:cs="Arial"/>
          <w:sz w:val="22"/>
          <w:szCs w:val="22"/>
          <w:lang w:val="fr-LU" w:eastAsia="fr-LU"/>
        </w:rPr>
        <w:t>La France ne s’est pour le moment pas encore dotée de loi spécifique sur le „stalking“ et fonctionne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A01D2">
        <w:rPr>
          <w:rFonts w:ascii="Arial" w:hAnsi="Arial" w:cs="Arial"/>
          <w:sz w:val="22"/>
          <w:szCs w:val="22"/>
          <w:lang w:val="fr-LU" w:eastAsia="fr-LU"/>
        </w:rPr>
        <w:t>pour le moment selon le modèle suisse en le réprimant à travers certains comportements constituant le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A01D2">
        <w:rPr>
          <w:rFonts w:ascii="Arial" w:hAnsi="Arial" w:cs="Arial"/>
          <w:sz w:val="22"/>
          <w:szCs w:val="22"/>
          <w:lang w:val="fr-LU" w:eastAsia="fr-LU"/>
        </w:rPr>
        <w:t>harcèlement.</w:t>
      </w:r>
    </w:p>
    <w:p w:rsidR="008B5D86" w:rsidRDefault="008B5D86" w:rsidP="008B5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8B5D86" w:rsidRPr="00FA01D2" w:rsidRDefault="008B5D86" w:rsidP="008B5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FA01D2">
        <w:rPr>
          <w:rFonts w:ascii="Arial" w:hAnsi="Arial" w:cs="Arial"/>
          <w:sz w:val="22"/>
          <w:szCs w:val="22"/>
          <w:lang w:val="fr-LU" w:eastAsia="fr-LU"/>
        </w:rPr>
        <w:t>L’Allemagne a introduit par une loi du 31 mars 2007 un article 238 au Strafgesetzbuch concernant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A01D2">
        <w:rPr>
          <w:rFonts w:ascii="Arial" w:hAnsi="Arial" w:cs="Arial"/>
          <w:sz w:val="22"/>
          <w:szCs w:val="22"/>
          <w:lang w:val="fr-LU" w:eastAsia="fr-LU"/>
        </w:rPr>
        <w:t>le phénomène du „stalking“ qui le définit de façon très précise en énumérant une liste des comportements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A01D2">
        <w:rPr>
          <w:rFonts w:ascii="Arial" w:hAnsi="Arial" w:cs="Arial"/>
          <w:sz w:val="22"/>
          <w:szCs w:val="22"/>
          <w:lang w:val="fr-LU" w:eastAsia="fr-LU"/>
        </w:rPr>
        <w:t>qui tombent sous cette qualification.</w:t>
      </w:r>
    </w:p>
    <w:p w:rsidR="008B5D86" w:rsidRDefault="008B5D86" w:rsidP="008B5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8B5D86" w:rsidRPr="00FA01D2" w:rsidRDefault="008B5D86" w:rsidP="008B5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/>
        </w:rPr>
      </w:pPr>
      <w:r w:rsidRPr="00FA01D2">
        <w:rPr>
          <w:rFonts w:ascii="Arial" w:hAnsi="Arial" w:cs="Arial"/>
          <w:sz w:val="22"/>
          <w:szCs w:val="22"/>
          <w:lang w:val="fr-LU" w:eastAsia="fr-LU"/>
        </w:rPr>
        <w:t>Le législateur belge a introduit un article 442bis dans son Code pénal qui laisse une grande marge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Pr="00FA01D2">
        <w:rPr>
          <w:rFonts w:ascii="Arial" w:hAnsi="Arial" w:cs="Arial"/>
          <w:sz w:val="22"/>
          <w:szCs w:val="22"/>
          <w:lang w:val="fr-LU" w:eastAsia="fr-LU"/>
        </w:rPr>
        <w:t>d’appréciation au juge</w:t>
      </w:r>
      <w:r>
        <w:rPr>
          <w:rFonts w:ascii="Arial" w:hAnsi="Arial" w:cs="Arial"/>
          <w:sz w:val="22"/>
          <w:szCs w:val="22"/>
          <w:lang w:val="fr-LU" w:eastAsia="fr-LU"/>
        </w:rPr>
        <w:t>.</w:t>
      </w:r>
    </w:p>
    <w:p w:rsidR="00255463" w:rsidRPr="008B5D86" w:rsidRDefault="00255463" w:rsidP="00255463">
      <w:pPr>
        <w:jc w:val="both"/>
        <w:rPr>
          <w:lang w:val="fr-LU"/>
        </w:rPr>
      </w:pPr>
    </w:p>
    <w:p w:rsidR="006C0DA4" w:rsidRDefault="006C0DA4" w:rsidP="006C0DA4">
      <w:pPr>
        <w:jc w:val="both"/>
      </w:pPr>
    </w:p>
    <w:sectPr w:rsidR="006C0D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44" w:rsidRDefault="00A83944" w:rsidP="008B5D86">
      <w:r>
        <w:separator/>
      </w:r>
    </w:p>
  </w:endnote>
  <w:endnote w:type="continuationSeparator" w:id="0">
    <w:p w:rsidR="00A83944" w:rsidRDefault="00A83944" w:rsidP="008B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86" w:rsidRDefault="008B5D86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4D2">
      <w:rPr>
        <w:noProof/>
      </w:rPr>
      <w:t>1</w:t>
    </w:r>
    <w:r>
      <w:fldChar w:fldCharType="end"/>
    </w:r>
  </w:p>
  <w:p w:rsidR="008B5D86" w:rsidRDefault="008B5D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44" w:rsidRDefault="00A83944" w:rsidP="008B5D86">
      <w:r>
        <w:separator/>
      </w:r>
    </w:p>
  </w:footnote>
  <w:footnote w:type="continuationSeparator" w:id="0">
    <w:p w:rsidR="00A83944" w:rsidRDefault="00A83944" w:rsidP="008B5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DA4"/>
    <w:rsid w:val="000510E3"/>
    <w:rsid w:val="001B77B2"/>
    <w:rsid w:val="00255463"/>
    <w:rsid w:val="002D7801"/>
    <w:rsid w:val="003462AB"/>
    <w:rsid w:val="00592DBC"/>
    <w:rsid w:val="006C0DA4"/>
    <w:rsid w:val="007974D2"/>
    <w:rsid w:val="008B5D86"/>
    <w:rsid w:val="00985A5E"/>
    <w:rsid w:val="00A83944"/>
    <w:rsid w:val="00B12F3E"/>
    <w:rsid w:val="00D31872"/>
    <w:rsid w:val="00DE45A4"/>
    <w:rsid w:val="00E609C3"/>
    <w:rsid w:val="00E9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B6C21C-412C-4D98-927C-DC4A6260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A4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Default">
    <w:name w:val="Default"/>
    <w:rsid w:val="008B5D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B5D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B5D8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B5D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5D86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DP5907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5907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/sftpecos/Dossiers_parlementaires/5907/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9907697-40D6-4CAC-AA6C-E4A63814B658}"/>
</file>

<file path=customXml/itemProps2.xml><?xml version="1.0" encoding="utf-8"?>
<ds:datastoreItem xmlns:ds="http://schemas.openxmlformats.org/officeDocument/2006/customXml" ds:itemID="{3AD01DBA-7E24-4D93-97CA-B3C0CD6C0A0C}"/>
</file>

<file path=customXml/itemProps3.xml><?xml version="1.0" encoding="utf-8"?>
<ds:datastoreItem xmlns:ds="http://schemas.openxmlformats.org/officeDocument/2006/customXml" ds:itemID="{2298DD6B-AACA-439F-90C4-67A4D6E39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2998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révision de l’article 68 de la Constitution</vt:lpstr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Laurent Besch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