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F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976DC">
        <w:rPr>
          <w:rFonts w:ascii="Arial" w:hAnsi="Arial" w:cs="Arial"/>
          <w:b/>
          <w:bCs/>
          <w:sz w:val="22"/>
          <w:szCs w:val="22"/>
        </w:rPr>
        <w:t>5903</w:t>
      </w:r>
      <w:r w:rsidR="00B2086F">
        <w:rPr>
          <w:rFonts w:ascii="Arial" w:hAnsi="Arial" w:cs="Arial"/>
          <w:b/>
          <w:bCs/>
          <w:sz w:val="22"/>
          <w:szCs w:val="22"/>
        </w:rPr>
        <w:t> : résumé</w:t>
      </w:r>
    </w:p>
    <w:p w:rsidR="00B2086F" w:rsidRPr="000976DC" w:rsidRDefault="00B2086F" w:rsidP="00097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Le présent projet de loi porte</w:t>
      </w:r>
      <w:r w:rsidR="00406104">
        <w:rPr>
          <w:rFonts w:ascii="Arial" w:hAnsi="Arial" w:cs="Arial"/>
          <w:sz w:val="22"/>
          <w:szCs w:val="22"/>
        </w:rPr>
        <w:t xml:space="preserve"> : </w:t>
      </w:r>
    </w:p>
    <w:p w:rsidR="0021749F" w:rsidRPr="000976DC" w:rsidRDefault="0021749F" w:rsidP="004061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exécution du règlement (CE) No 166/2006 du 18 janvier 2006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concernant la création d’un registre européen des rejets et des transferts de polluants et modifiant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directiv</w:t>
      </w:r>
      <w:r w:rsidR="00406104">
        <w:rPr>
          <w:rFonts w:ascii="Arial" w:hAnsi="Arial" w:cs="Arial"/>
          <w:sz w:val="22"/>
          <w:szCs w:val="22"/>
        </w:rPr>
        <w:t>es 91/689/CEE et 96/61/CE ;</w:t>
      </w:r>
    </w:p>
    <w:p w:rsidR="0021749F" w:rsidRPr="000976DC" w:rsidRDefault="0021749F" w:rsidP="004061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création d’un registre national des rejets</w:t>
      </w:r>
      <w:r w:rsidR="00253111">
        <w:rPr>
          <w:rFonts w:ascii="Arial" w:hAnsi="Arial" w:cs="Arial"/>
          <w:sz w:val="22"/>
          <w:szCs w:val="22"/>
        </w:rPr>
        <w:t xml:space="preserve"> et des transferts de polluants ;</w:t>
      </w:r>
    </w:p>
    <w:p w:rsidR="0021749F" w:rsidRPr="000976DC" w:rsidRDefault="0021749F" w:rsidP="004061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 xml:space="preserve">modification de la législation </w:t>
      </w:r>
      <w:proofErr w:type="spellStart"/>
      <w:r w:rsidRPr="000976DC">
        <w:rPr>
          <w:rFonts w:ascii="Arial" w:hAnsi="Arial" w:cs="Arial"/>
          <w:sz w:val="22"/>
          <w:szCs w:val="22"/>
        </w:rPr>
        <w:t>commodo</w:t>
      </w:r>
      <w:proofErr w:type="spellEnd"/>
      <w:r w:rsidRPr="000976DC">
        <w:rPr>
          <w:rFonts w:ascii="Arial" w:hAnsi="Arial" w:cs="Arial"/>
          <w:sz w:val="22"/>
          <w:szCs w:val="22"/>
        </w:rPr>
        <w:t>/</w:t>
      </w:r>
      <w:proofErr w:type="spellStart"/>
      <w:r w:rsidRPr="000976DC">
        <w:rPr>
          <w:rFonts w:ascii="Arial" w:hAnsi="Arial" w:cs="Arial"/>
          <w:sz w:val="22"/>
          <w:szCs w:val="22"/>
        </w:rPr>
        <w:t>incommodo</w:t>
      </w:r>
      <w:proofErr w:type="spellEnd"/>
      <w:r w:rsidRPr="000976DC">
        <w:rPr>
          <w:rFonts w:ascii="Arial" w:hAnsi="Arial" w:cs="Arial"/>
          <w:sz w:val="22"/>
          <w:szCs w:val="22"/>
        </w:rPr>
        <w:t>.</w:t>
      </w: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Le règlement CE précité vise à améliorer l’accès du public à l’information en matière d’environnement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et partant à contribuer à la prévention et à la réduction de la pollution.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Il crée,</w:t>
      </w:r>
      <w:r w:rsidR="00B2086F">
        <w:rPr>
          <w:rFonts w:ascii="Arial" w:hAnsi="Arial" w:cs="Arial"/>
          <w:sz w:val="22"/>
          <w:szCs w:val="22"/>
        </w:rPr>
        <w:t xml:space="preserve"> au niveau de l’UE</w:t>
      </w:r>
      <w:r w:rsidRPr="000976DC">
        <w:rPr>
          <w:rFonts w:ascii="Arial" w:hAnsi="Arial" w:cs="Arial"/>
          <w:sz w:val="22"/>
          <w:szCs w:val="22"/>
        </w:rPr>
        <w:t>, un registre des rejets et transferts de polluants, dénommé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PRTR sous forme d’une base de données électronique accessible au public. Cette base de données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répond aux exigences posées par le Protocole à la Commission des Nations unies pour l’Europe sur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registres des rejets et transferts de polluants. Il s’agit du premier accord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multilatéral juridiquement contraignant, en dehors des frontières de l’UE, concernant les registres des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rejets et transferts de polluants. Il vise l’établissement, dans chaque pays membre, de registres cohérents,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intégrés et accessibles au public concernant les rejets et transferts de polluants à l’échelle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mondiale.</w:t>
      </w:r>
      <w:r w:rsidR="00406104">
        <w:rPr>
          <w:rFonts w:ascii="Arial" w:hAnsi="Arial" w:cs="Arial"/>
          <w:sz w:val="22"/>
          <w:szCs w:val="22"/>
        </w:rPr>
        <w:t xml:space="preserve"> </w:t>
      </w: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 xml:space="preserve">Les informations contenues dans </w:t>
      </w:r>
      <w:r w:rsidR="00406104">
        <w:rPr>
          <w:rFonts w:ascii="Arial" w:hAnsi="Arial" w:cs="Arial"/>
          <w:sz w:val="22"/>
          <w:szCs w:val="22"/>
        </w:rPr>
        <w:t>le PRTR</w:t>
      </w:r>
      <w:r w:rsidRPr="000976DC">
        <w:rPr>
          <w:rFonts w:ascii="Arial" w:hAnsi="Arial" w:cs="Arial"/>
          <w:sz w:val="22"/>
          <w:szCs w:val="22"/>
        </w:rPr>
        <w:t xml:space="preserve"> portent sur les rejets de polluants dans l’air, dans l’eau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et dans le sol, ainsi que sur les transferts de déchets et de polluants, lorsque le niveau d’émission de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ces substances dépasse certains seuils et résulte d’activités déterminées. Le registre concerne également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rejets de polluants provenant de sources diffuses.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activités concernées recouvrent en particulier celles qui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figurent dans la directive 96/61/CE dite IPPC. Il s’agit notamment des activités qui résultent du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fonctionnement des centrales thermiques, des industries extractives et métallurgiques, des usines chimiques,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des industries du papier et du bois, ou encore des installations de traitement des déchets et des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eaux usées.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="00406104">
        <w:rPr>
          <w:rFonts w:ascii="Arial" w:hAnsi="Arial" w:cs="Arial"/>
          <w:sz w:val="22"/>
          <w:szCs w:val="22"/>
        </w:rPr>
        <w:t>Quant aux</w:t>
      </w:r>
      <w:r w:rsidRPr="000976DC">
        <w:rPr>
          <w:rFonts w:ascii="Arial" w:hAnsi="Arial" w:cs="Arial"/>
          <w:sz w:val="22"/>
          <w:szCs w:val="22"/>
        </w:rPr>
        <w:t xml:space="preserve"> subs</w:t>
      </w:r>
      <w:r w:rsidR="00406104">
        <w:rPr>
          <w:rFonts w:ascii="Arial" w:hAnsi="Arial" w:cs="Arial"/>
          <w:sz w:val="22"/>
          <w:szCs w:val="22"/>
        </w:rPr>
        <w:t>tances concernées</w:t>
      </w:r>
      <w:r w:rsidRPr="000976DC">
        <w:rPr>
          <w:rFonts w:ascii="Arial" w:hAnsi="Arial" w:cs="Arial"/>
          <w:sz w:val="22"/>
          <w:szCs w:val="22"/>
        </w:rPr>
        <w:t>, le registre couvre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gaz à effet de serre, les polluants responsables des pluies acides, les substances qui appauvrissent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la couche d’ozone, les métaux lourds et certaines substances cancérigènes comme les dioxines.</w:t>
      </w: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 xml:space="preserve">La base de données </w:t>
      </w:r>
      <w:r w:rsidR="00406104">
        <w:rPr>
          <w:rFonts w:ascii="Arial" w:hAnsi="Arial" w:cs="Arial"/>
          <w:sz w:val="22"/>
          <w:szCs w:val="22"/>
        </w:rPr>
        <w:t xml:space="preserve">du PRTR </w:t>
      </w:r>
      <w:r w:rsidRPr="000976DC">
        <w:rPr>
          <w:rFonts w:ascii="Arial" w:hAnsi="Arial" w:cs="Arial"/>
          <w:sz w:val="22"/>
          <w:szCs w:val="22"/>
        </w:rPr>
        <w:t>est alimentée de manière régulière avec les informations collectées au niveau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national par les Etats membres et transmises à la Commission, à l’exception des informations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confidentielles.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Ces informations sont tout d’abord notifiées à l’autorité nationale compétente par les opérateurs qui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 xml:space="preserve">exercent </w:t>
      </w:r>
      <w:r w:rsidR="00406104">
        <w:rPr>
          <w:rFonts w:ascii="Arial" w:hAnsi="Arial" w:cs="Arial"/>
          <w:sz w:val="22"/>
          <w:szCs w:val="22"/>
        </w:rPr>
        <w:t>des</w:t>
      </w:r>
      <w:r w:rsidRPr="000976DC">
        <w:rPr>
          <w:rFonts w:ascii="Arial" w:hAnsi="Arial" w:cs="Arial"/>
          <w:sz w:val="22"/>
          <w:szCs w:val="22"/>
        </w:rPr>
        <w:t xml:space="preserve"> activités entraîn</w:t>
      </w:r>
      <w:r w:rsidR="00406104">
        <w:rPr>
          <w:rFonts w:ascii="Arial" w:hAnsi="Arial" w:cs="Arial"/>
          <w:sz w:val="22"/>
          <w:szCs w:val="22"/>
        </w:rPr>
        <w:t>a</w:t>
      </w:r>
      <w:r w:rsidRPr="000976DC">
        <w:rPr>
          <w:rFonts w:ascii="Arial" w:hAnsi="Arial" w:cs="Arial"/>
          <w:sz w:val="22"/>
          <w:szCs w:val="22"/>
        </w:rPr>
        <w:t>nt des rejets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ou des transferts de substances qui dépassent certains seuils. La Commission, assistée par l’Agence européenne de l’environnement, met les informations de cette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base de données à la disposition du public en assurant leur diffusion sur Internet dans un certain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délai.</w:t>
      </w:r>
      <w:r w:rsidR="00406104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 PRTR européen comprend des liens notamment vers les bases de données constituées par les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PRTR nationaux des Etats membres.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 règlement prévoit la possibilité pour le public de participer à l’extension du registre et à sa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modification.</w:t>
      </w: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En vue d’éviter la coexistence de deux registres, à savoir l’inventaire IPPC et le registre PRTR – qui</w:t>
      </w:r>
      <w:r w:rsidR="000976DC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d’ailleurs couvre entre autre les installations IPPC – et compte tenu du souci d’assurer un enregistrement</w:t>
      </w:r>
      <w:r w:rsidR="000976DC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et une publicité des émissions en provenance des installations IPPC à travers le seul registre</w:t>
      </w:r>
      <w:r w:rsidR="000976DC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PRTR, les dispositions correspondantes de la directive IPPC ont été abrogées.</w:t>
      </w:r>
    </w:p>
    <w:p w:rsidR="0021749F" w:rsidRPr="000976DC" w:rsidRDefault="0021749F" w:rsidP="000976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76DC">
        <w:rPr>
          <w:rFonts w:ascii="Arial" w:hAnsi="Arial" w:cs="Arial"/>
          <w:sz w:val="22"/>
          <w:szCs w:val="22"/>
        </w:rPr>
        <w:t>Le présent projet de loi est destiné à remplacer le règlement grand-ducal du 31 juillet 2006 portant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certaines modalités d’application du règlement CE. Ledit règlement grand-ducal s’est limité à déterminer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les autorités compétentes en la matière.</w:t>
      </w:r>
      <w:r w:rsidR="00406104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Il est complété par un projet de règlement grand-ducal qui porte abrogation du règlement de</w:t>
      </w:r>
      <w:r w:rsidR="00406104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2006.</w:t>
      </w:r>
      <w:r w:rsidR="00406104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Outre l’exécution proprement dite du règlement CE, le projet de loi modifie la loi modifiée du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10 juin 1999 relative aux établissements classés en ce sens que les dispositions relatives à la mise à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disposition, par l’Administration de l’environnement, d’éléments en vue de l’établissement d’un inventaire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des principales émissions et sources responsables ainsi qu’ à l’échange d’informations transfrontière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sont supprimées.</w:t>
      </w:r>
      <w:r w:rsidR="00406104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Finalement, le projet de loi crée un registre national des rejets et des transferts de polluants, tout en</w:t>
      </w:r>
      <w:r w:rsidR="00B2086F">
        <w:rPr>
          <w:rFonts w:ascii="Arial" w:hAnsi="Arial" w:cs="Arial"/>
          <w:sz w:val="22"/>
          <w:szCs w:val="22"/>
        </w:rPr>
        <w:t xml:space="preserve"> </w:t>
      </w:r>
      <w:r w:rsidRPr="000976DC">
        <w:rPr>
          <w:rFonts w:ascii="Arial" w:hAnsi="Arial" w:cs="Arial"/>
          <w:sz w:val="22"/>
          <w:szCs w:val="22"/>
        </w:rPr>
        <w:t>en précisant les modalités de mise en oeuvre.</w:t>
      </w:r>
    </w:p>
    <w:sectPr w:rsidR="0021749F" w:rsidRPr="0009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FA"/>
    <w:multiLevelType w:val="hybridMultilevel"/>
    <w:tmpl w:val="2D103266"/>
    <w:lvl w:ilvl="0" w:tplc="4E5EDC6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07269"/>
    <w:multiLevelType w:val="hybridMultilevel"/>
    <w:tmpl w:val="E676E536"/>
    <w:lvl w:ilvl="0" w:tplc="2F541B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49F"/>
    <w:rsid w:val="000976DC"/>
    <w:rsid w:val="000D5FB5"/>
    <w:rsid w:val="0021749F"/>
    <w:rsid w:val="00253111"/>
    <w:rsid w:val="00406104"/>
    <w:rsid w:val="00A93C63"/>
    <w:rsid w:val="00A964FD"/>
    <w:rsid w:val="00B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722D67D-61B7-40F3-B5E5-B456013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25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DAB2236-0839-47D2-95CA-E74B6690FDD0}"/>
</file>

<file path=customXml/itemProps2.xml><?xml version="1.0" encoding="utf-8"?>
<ds:datastoreItem xmlns:ds="http://schemas.openxmlformats.org/officeDocument/2006/customXml" ds:itemID="{543BBF7A-A282-447D-9C72-3492534412D3}"/>
</file>

<file path=customXml/itemProps3.xml><?xml version="1.0" encoding="utf-8"?>
<ds:datastoreItem xmlns:ds="http://schemas.openxmlformats.org/officeDocument/2006/customXml" ds:itemID="{6F35BB9C-D88E-47B5-BE6E-B2A8476D1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5903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2008-09-12T12:37:00Z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