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661" w:rsidRPr="00541944" w:rsidRDefault="003C2661" w:rsidP="003C2661">
      <w:pPr>
        <w:spacing w:after="120"/>
        <w:jc w:val="center"/>
        <w:rPr>
          <w:rFonts w:ascii="Arial" w:hAnsi="Arial" w:cs="Arial"/>
          <w:b/>
          <w:sz w:val="28"/>
          <w:szCs w:val="28"/>
        </w:rPr>
      </w:pPr>
      <w:bookmarkStart w:id="0" w:name="_GoBack"/>
      <w:bookmarkEnd w:id="0"/>
      <w:r w:rsidRPr="00541944">
        <w:rPr>
          <w:rFonts w:ascii="Arial" w:hAnsi="Arial" w:cs="Arial"/>
          <w:b/>
          <w:sz w:val="28"/>
          <w:szCs w:val="28"/>
        </w:rPr>
        <w:t>N</w:t>
      </w:r>
      <w:r w:rsidRPr="00541944">
        <w:rPr>
          <w:rFonts w:ascii="Arial" w:hAnsi="Arial" w:cs="Arial"/>
          <w:b/>
          <w:sz w:val="28"/>
          <w:szCs w:val="28"/>
          <w:vertAlign w:val="superscript"/>
        </w:rPr>
        <w:t>o</w:t>
      </w:r>
      <w:r w:rsidRPr="00541944">
        <w:rPr>
          <w:rFonts w:ascii="Arial" w:hAnsi="Arial" w:cs="Arial"/>
          <w:b/>
          <w:sz w:val="28"/>
          <w:szCs w:val="28"/>
        </w:rPr>
        <w:t xml:space="preserve"> </w:t>
      </w:r>
      <w:r>
        <w:rPr>
          <w:rFonts w:ascii="Arial" w:hAnsi="Arial" w:cs="Arial"/>
          <w:b/>
          <w:sz w:val="28"/>
          <w:szCs w:val="28"/>
        </w:rPr>
        <w:t>5895</w:t>
      </w:r>
    </w:p>
    <w:p w:rsidR="00473A07" w:rsidRDefault="003C2661" w:rsidP="003C2661">
      <w:pPr>
        <w:jc w:val="center"/>
      </w:pPr>
      <w:r>
        <w:t>RESUME</w:t>
      </w:r>
    </w:p>
    <w:p w:rsidR="003C2661" w:rsidRDefault="003C2661"/>
    <w:p w:rsidR="00254C13" w:rsidRPr="00A63E81" w:rsidRDefault="00254C13" w:rsidP="00254C13">
      <w:pPr>
        <w:rPr>
          <w:rFonts w:ascii="Arial" w:hAnsi="Arial" w:cs="Arial"/>
        </w:rPr>
      </w:pPr>
      <w:r w:rsidRPr="00A63E81">
        <w:rPr>
          <w:rFonts w:ascii="Arial" w:hAnsi="Arial" w:cs="Arial"/>
          <w:lang w:val="fr-CH"/>
        </w:rPr>
        <w:t xml:space="preserve">Le projet de loi </w:t>
      </w:r>
      <w:r>
        <w:rPr>
          <w:rFonts w:ascii="Arial" w:hAnsi="Arial" w:cs="Arial"/>
          <w:lang w:val="fr-CH"/>
        </w:rPr>
        <w:t xml:space="preserve">5895 </w:t>
      </w:r>
      <w:r w:rsidRPr="00A63E81">
        <w:rPr>
          <w:rFonts w:ascii="Arial" w:hAnsi="Arial" w:cs="Arial"/>
          <w:lang w:val="fr-CH"/>
        </w:rPr>
        <w:t xml:space="preserve">vise à transposer la directive 2004/48/CE </w:t>
      </w:r>
      <w:r w:rsidRPr="00A63E81">
        <w:rPr>
          <w:rFonts w:ascii="Arial" w:hAnsi="Arial" w:cs="Arial"/>
        </w:rPr>
        <w:t>du Parlement européen et du Conseil du 29 avril 2004 relative au respect des droits de propriété intellectuelle.</w:t>
      </w:r>
    </w:p>
    <w:p w:rsidR="00254C13" w:rsidRPr="00A63E81" w:rsidRDefault="00254C13" w:rsidP="00254C13">
      <w:pPr>
        <w:rPr>
          <w:rFonts w:ascii="Arial" w:hAnsi="Arial" w:cs="Arial"/>
        </w:rPr>
      </w:pPr>
    </w:p>
    <w:p w:rsidR="00254C13" w:rsidRDefault="00254C13" w:rsidP="00254C13">
      <w:pPr>
        <w:rPr>
          <w:rFonts w:ascii="Arial" w:hAnsi="Arial" w:cs="Arial"/>
          <w:lang w:val="fr-CH"/>
        </w:rPr>
      </w:pPr>
      <w:r w:rsidRPr="00A63E81">
        <w:rPr>
          <w:rFonts w:ascii="Arial" w:hAnsi="Arial" w:cs="Arial"/>
        </w:rPr>
        <w:t xml:space="preserve">L’objectif de </w:t>
      </w:r>
      <w:r>
        <w:rPr>
          <w:rFonts w:ascii="Arial" w:hAnsi="Arial" w:cs="Arial"/>
        </w:rPr>
        <w:t xml:space="preserve">cette </w:t>
      </w:r>
      <w:r w:rsidRPr="00A63E81">
        <w:rPr>
          <w:rFonts w:ascii="Arial" w:hAnsi="Arial" w:cs="Arial"/>
          <w:lang w:val="fr-CH"/>
        </w:rPr>
        <w:t>directive est de rapprocher les législations des Etats membres en matière de propriété intellectuelle afin d’assurer un niveau de protection élevé, équivalent et homogène de la propriété intellectuelle dans le marché intérieur.</w:t>
      </w:r>
      <w:r>
        <w:rPr>
          <w:rFonts w:ascii="Arial" w:hAnsi="Arial" w:cs="Arial"/>
          <w:lang w:val="fr-CH"/>
        </w:rPr>
        <w:t xml:space="preserve"> Les </w:t>
      </w:r>
      <w:r w:rsidRPr="00A63E81">
        <w:rPr>
          <w:rFonts w:ascii="Arial" w:hAnsi="Arial" w:cs="Arial"/>
          <w:lang w:val="fr-CH"/>
        </w:rPr>
        <w:t xml:space="preserve">disparités </w:t>
      </w:r>
      <w:r>
        <w:rPr>
          <w:rFonts w:ascii="Arial" w:hAnsi="Arial" w:cs="Arial"/>
          <w:lang w:val="fr-CH"/>
        </w:rPr>
        <w:t xml:space="preserve">encore </w:t>
      </w:r>
      <w:r w:rsidRPr="00A63E81">
        <w:rPr>
          <w:rFonts w:ascii="Arial" w:hAnsi="Arial" w:cs="Arial"/>
          <w:lang w:val="fr-CH"/>
        </w:rPr>
        <w:t>importantes en ce qui concerne les moyens de faire respecter les dro</w:t>
      </w:r>
      <w:r>
        <w:rPr>
          <w:rFonts w:ascii="Arial" w:hAnsi="Arial" w:cs="Arial"/>
          <w:lang w:val="fr-CH"/>
        </w:rPr>
        <w:t xml:space="preserve">its de propriété intellectuelle </w:t>
      </w:r>
      <w:r w:rsidRPr="00A63E81">
        <w:rPr>
          <w:rFonts w:ascii="Arial" w:hAnsi="Arial" w:cs="Arial"/>
          <w:lang w:val="fr-CH"/>
        </w:rPr>
        <w:t>nuis</w:t>
      </w:r>
      <w:r>
        <w:rPr>
          <w:rFonts w:ascii="Arial" w:hAnsi="Arial" w:cs="Arial"/>
          <w:lang w:val="fr-CH"/>
        </w:rPr>
        <w:t xml:space="preserve">ent </w:t>
      </w:r>
      <w:r w:rsidRPr="00A63E81">
        <w:rPr>
          <w:rFonts w:ascii="Arial" w:hAnsi="Arial" w:cs="Arial"/>
          <w:lang w:val="fr-CH"/>
        </w:rPr>
        <w:t>au bon fonctionnement du marché intérieur</w:t>
      </w:r>
      <w:r>
        <w:rPr>
          <w:rFonts w:ascii="Arial" w:hAnsi="Arial" w:cs="Arial"/>
          <w:lang w:val="fr-CH"/>
        </w:rPr>
        <w:t xml:space="preserve">. </w:t>
      </w:r>
    </w:p>
    <w:p w:rsidR="00254C13" w:rsidRPr="00A63E81" w:rsidRDefault="00254C13" w:rsidP="00254C13">
      <w:pPr>
        <w:rPr>
          <w:rFonts w:ascii="Arial" w:hAnsi="Arial" w:cs="Arial"/>
          <w:lang w:val="fr-CH"/>
        </w:rPr>
      </w:pPr>
    </w:p>
    <w:p w:rsidR="00916D11" w:rsidRDefault="00916D11" w:rsidP="00916D11">
      <w:pPr>
        <w:rPr>
          <w:rFonts w:ascii="Arial" w:hAnsi="Arial" w:cs="Arial"/>
          <w:lang w:val="fr-CH"/>
        </w:rPr>
      </w:pPr>
      <w:r>
        <w:rPr>
          <w:rFonts w:ascii="Arial" w:hAnsi="Arial" w:cs="Arial"/>
          <w:lang w:val="fr-CH"/>
        </w:rPr>
        <w:t>Tandis que c</w:t>
      </w:r>
      <w:r w:rsidR="009D0E81">
        <w:rPr>
          <w:rFonts w:ascii="Arial" w:hAnsi="Arial" w:cs="Arial"/>
          <w:lang w:val="fr-CH"/>
        </w:rPr>
        <w:t>ertaines dispositions du droit national satisfont déjà aux exigences de la directive, comme la protection de l</w:t>
      </w:r>
      <w:r w:rsidR="009D0E81" w:rsidRPr="00A63E81">
        <w:rPr>
          <w:rFonts w:ascii="Arial" w:hAnsi="Arial" w:cs="Arial"/>
          <w:lang w:val="fr-CH"/>
        </w:rPr>
        <w:t>a dénomination sociale et le nom commercial</w:t>
      </w:r>
      <w:r w:rsidR="009D0E81">
        <w:rPr>
          <w:rFonts w:ascii="Arial" w:hAnsi="Arial" w:cs="Arial"/>
          <w:lang w:val="fr-CH"/>
        </w:rPr>
        <w:t>, l</w:t>
      </w:r>
      <w:r w:rsidR="009D0E81" w:rsidRPr="00A63E81">
        <w:rPr>
          <w:rFonts w:ascii="Arial" w:hAnsi="Arial" w:cs="Arial"/>
          <w:lang w:val="fr-CH"/>
        </w:rPr>
        <w:t>’action en cessation ayant trait à l’utilisat</w:t>
      </w:r>
      <w:r>
        <w:rPr>
          <w:rFonts w:ascii="Arial" w:hAnsi="Arial" w:cs="Arial"/>
          <w:lang w:val="fr-CH"/>
        </w:rPr>
        <w:t>ion abusive d’un nom commercial et</w:t>
      </w:r>
      <w:r w:rsidR="009D0E81" w:rsidRPr="00A63E81">
        <w:rPr>
          <w:rFonts w:ascii="Arial" w:hAnsi="Arial" w:cs="Arial"/>
          <w:lang w:val="fr-CH"/>
        </w:rPr>
        <w:t xml:space="preserve"> l’action en changement de dénomination sociale</w:t>
      </w:r>
      <w:r>
        <w:rPr>
          <w:rFonts w:ascii="Arial" w:hAnsi="Arial" w:cs="Arial"/>
          <w:lang w:val="fr-CH"/>
        </w:rPr>
        <w:t xml:space="preserve">, d’autres moyens prévus par la directive ont été transposés par la modification, </w:t>
      </w:r>
      <w:r w:rsidRPr="00A63E81">
        <w:rPr>
          <w:rFonts w:ascii="Arial" w:hAnsi="Arial" w:cs="Arial"/>
          <w:lang w:val="fr-CH"/>
        </w:rPr>
        <w:t>en date du 1</w:t>
      </w:r>
      <w:r w:rsidRPr="00A63E81">
        <w:rPr>
          <w:rFonts w:ascii="Arial" w:hAnsi="Arial" w:cs="Arial"/>
          <w:vertAlign w:val="superscript"/>
          <w:lang w:val="fr-CH"/>
        </w:rPr>
        <w:t>er</w:t>
      </w:r>
      <w:r w:rsidRPr="00A63E81">
        <w:rPr>
          <w:rFonts w:ascii="Arial" w:hAnsi="Arial" w:cs="Arial"/>
          <w:lang w:val="fr-CH"/>
        </w:rPr>
        <w:t xml:space="preserve"> février 2007</w:t>
      </w:r>
      <w:r>
        <w:rPr>
          <w:rFonts w:ascii="Arial" w:hAnsi="Arial" w:cs="Arial"/>
          <w:lang w:val="fr-CH"/>
        </w:rPr>
        <w:t>, de l</w:t>
      </w:r>
      <w:r w:rsidRPr="00A63E81">
        <w:rPr>
          <w:rFonts w:ascii="Arial" w:hAnsi="Arial" w:cs="Arial"/>
          <w:lang w:val="fr-CH"/>
        </w:rPr>
        <w:t>a Convention Benelux en matière de propriété intellectuelle, qui régit le droit des marques et des d</w:t>
      </w:r>
      <w:r>
        <w:rPr>
          <w:rFonts w:ascii="Arial" w:hAnsi="Arial" w:cs="Arial"/>
          <w:lang w:val="fr-CH"/>
        </w:rPr>
        <w:t xml:space="preserve">essins et modèles au Luxembourg. </w:t>
      </w:r>
    </w:p>
    <w:p w:rsidR="00916D11" w:rsidRDefault="00916D11" w:rsidP="00254C13">
      <w:pPr>
        <w:rPr>
          <w:rFonts w:ascii="Arial" w:hAnsi="Arial" w:cs="Arial"/>
          <w:lang w:val="fr-CH"/>
        </w:rPr>
      </w:pPr>
    </w:p>
    <w:p w:rsidR="00254C13" w:rsidRPr="00A63E81" w:rsidRDefault="00916D11" w:rsidP="00254C13">
      <w:pPr>
        <w:rPr>
          <w:rFonts w:ascii="Arial" w:hAnsi="Arial" w:cs="Arial"/>
          <w:lang w:val="fr-CH"/>
        </w:rPr>
      </w:pPr>
      <w:r>
        <w:rPr>
          <w:rFonts w:ascii="Arial" w:hAnsi="Arial" w:cs="Arial"/>
          <w:lang w:val="fr-CH"/>
        </w:rPr>
        <w:t>Certains</w:t>
      </w:r>
      <w:r w:rsidR="009D0E81">
        <w:rPr>
          <w:rFonts w:ascii="Arial" w:hAnsi="Arial" w:cs="Arial"/>
          <w:lang w:val="fr-CH"/>
        </w:rPr>
        <w:t xml:space="preserve"> moyens</w:t>
      </w:r>
      <w:r w:rsidR="009D0E81" w:rsidRPr="009D0E81">
        <w:rPr>
          <w:rFonts w:ascii="Arial" w:hAnsi="Arial" w:cs="Arial"/>
          <w:lang w:val="fr-CH"/>
        </w:rPr>
        <w:t xml:space="preserve"> </w:t>
      </w:r>
      <w:r w:rsidR="009D0E81" w:rsidRPr="00A63E81">
        <w:rPr>
          <w:rFonts w:ascii="Arial" w:hAnsi="Arial" w:cs="Arial"/>
          <w:lang w:val="fr-CH"/>
        </w:rPr>
        <w:t>prévus par la directive</w:t>
      </w:r>
      <w:r w:rsidR="009D0E81">
        <w:rPr>
          <w:rFonts w:ascii="Arial" w:hAnsi="Arial" w:cs="Arial"/>
          <w:lang w:val="fr-CH"/>
        </w:rPr>
        <w:t xml:space="preserve"> exist</w:t>
      </w:r>
      <w:r>
        <w:rPr>
          <w:rFonts w:ascii="Arial" w:hAnsi="Arial" w:cs="Arial"/>
          <w:lang w:val="fr-CH"/>
        </w:rPr>
        <w:t>e</w:t>
      </w:r>
      <w:r w:rsidR="009D0E81">
        <w:rPr>
          <w:rFonts w:ascii="Arial" w:hAnsi="Arial" w:cs="Arial"/>
          <w:lang w:val="fr-CH"/>
        </w:rPr>
        <w:t xml:space="preserve">nt </w:t>
      </w:r>
      <w:r w:rsidR="00254C13" w:rsidRPr="00A63E81">
        <w:rPr>
          <w:rFonts w:ascii="Arial" w:hAnsi="Arial" w:cs="Arial"/>
          <w:lang w:val="fr-CH"/>
        </w:rPr>
        <w:t>déjà en droit luxembourgeois mais doivent être adaptés aux dispositions de la directive et/ou être étendus à tous les droits de propriété intellectuelle. Le présent projet de loi vise par conséquent à prévoir les mesures et procédures fixées par la directive pour combattre les atteintes à tous les droits de propriété intellectuelle.</w:t>
      </w:r>
      <w:r w:rsidR="00254C13">
        <w:rPr>
          <w:rFonts w:ascii="Arial" w:hAnsi="Arial" w:cs="Arial"/>
          <w:lang w:val="fr-CH"/>
        </w:rPr>
        <w:t xml:space="preserve"> Cette transposition se fait par la modification des textes légaux suivants : </w:t>
      </w:r>
    </w:p>
    <w:p w:rsidR="00254C13" w:rsidRPr="00234B71" w:rsidRDefault="00254C13" w:rsidP="00254C13">
      <w:pPr>
        <w:rPr>
          <w:rFonts w:ascii="Arial" w:hAnsi="Arial" w:cs="Arial"/>
          <w:sz w:val="10"/>
          <w:szCs w:val="10"/>
          <w:lang w:val="fr-CH"/>
        </w:rPr>
      </w:pPr>
    </w:p>
    <w:p w:rsidR="00254C13" w:rsidRPr="00A63E81" w:rsidRDefault="00254C13" w:rsidP="00254C13">
      <w:pPr>
        <w:numPr>
          <w:ilvl w:val="0"/>
          <w:numId w:val="1"/>
        </w:numPr>
        <w:rPr>
          <w:rFonts w:ascii="Arial" w:hAnsi="Arial" w:cs="Arial"/>
          <w:lang w:val="fr-CH"/>
        </w:rPr>
      </w:pPr>
      <w:r w:rsidRPr="00A63E81">
        <w:rPr>
          <w:rFonts w:ascii="Arial" w:hAnsi="Arial" w:cs="Arial"/>
          <w:lang w:val="fr-CH"/>
        </w:rPr>
        <w:t>la loi du 18 avril 2001 sur les doits d’auteur, les droits voisins et les bases de données,</w:t>
      </w:r>
    </w:p>
    <w:p w:rsidR="00254C13" w:rsidRPr="00A63E81" w:rsidRDefault="00254C13" w:rsidP="00254C13">
      <w:pPr>
        <w:numPr>
          <w:ilvl w:val="0"/>
          <w:numId w:val="1"/>
        </w:numPr>
        <w:rPr>
          <w:rFonts w:ascii="Arial" w:hAnsi="Arial" w:cs="Arial"/>
          <w:lang w:val="fr-CH"/>
        </w:rPr>
      </w:pPr>
      <w:r w:rsidRPr="00A63E81">
        <w:rPr>
          <w:rFonts w:ascii="Arial" w:hAnsi="Arial" w:cs="Arial"/>
          <w:lang w:val="fr-CH"/>
        </w:rPr>
        <w:t>la loi du 20 juillet 1992 portant modification du régime des brevets d’invention.</w:t>
      </w:r>
    </w:p>
    <w:p w:rsidR="00254C13" w:rsidRPr="00A63E81" w:rsidRDefault="00254C13" w:rsidP="00254C13">
      <w:pPr>
        <w:rPr>
          <w:rFonts w:ascii="Arial" w:hAnsi="Arial" w:cs="Arial"/>
          <w:lang w:val="fr-CH"/>
        </w:rPr>
      </w:pPr>
    </w:p>
    <w:p w:rsidR="003C2661" w:rsidRPr="00916D11" w:rsidRDefault="00254C13" w:rsidP="00916D11">
      <w:pPr>
        <w:pStyle w:val="Textebrut"/>
        <w:jc w:val="both"/>
        <w:rPr>
          <w:rFonts w:ascii="Arial" w:hAnsi="Arial" w:cs="Arial"/>
          <w:sz w:val="22"/>
          <w:szCs w:val="22"/>
        </w:rPr>
      </w:pPr>
      <w:r w:rsidRPr="00A63E81">
        <w:rPr>
          <w:rFonts w:ascii="Arial" w:hAnsi="Arial" w:cs="Arial"/>
          <w:sz w:val="22"/>
          <w:szCs w:val="22"/>
        </w:rPr>
        <w:t>Vu le peu de jurisprudence en la matière, le présent projet de loi prévoit la désignation du Tribunal d’arrondissement de et à Luxembourg en tant que tribunal des dessins ou modèles communautaires avec compétence exclusive pour les deux arrondissements de Luxembourg et de Diekirch et avec juridiction sur l’ensemble du territoire du Grand-Duché.</w:t>
      </w:r>
    </w:p>
    <w:sectPr w:rsidR="003C2661" w:rsidRPr="00916D11" w:rsidSect="00473A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A0FBA"/>
    <w:multiLevelType w:val="hybridMultilevel"/>
    <w:tmpl w:val="0E0E9C0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661"/>
    <w:rsid w:val="00136440"/>
    <w:rsid w:val="00254C13"/>
    <w:rsid w:val="003C2661"/>
    <w:rsid w:val="00473A07"/>
    <w:rsid w:val="00916D11"/>
    <w:rsid w:val="009D0E81"/>
    <w:rsid w:val="00AC518C"/>
    <w:rsid w:val="00F1585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9B90C2-0B62-4435-813F-79BE934A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661"/>
    <w:pPr>
      <w:jc w:val="both"/>
    </w:pPr>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54C13"/>
    <w:pPr>
      <w:jc w:val="left"/>
    </w:pPr>
    <w:rPr>
      <w:rFonts w:ascii="Consolas" w:eastAsia="Times New Roman" w:hAnsi="Consolas"/>
      <w:sz w:val="21"/>
      <w:szCs w:val="21"/>
      <w:lang w:val="lb-LU" w:eastAsia="lb-LU"/>
    </w:rPr>
  </w:style>
  <w:style w:type="character" w:customStyle="1" w:styleId="TextebrutCar">
    <w:name w:val="Texte brut Car"/>
    <w:basedOn w:val="Policepardfaut"/>
    <w:link w:val="Textebrut"/>
    <w:uiPriority w:val="99"/>
    <w:rsid w:val="00254C13"/>
    <w:rPr>
      <w:rFonts w:ascii="Consolas" w:eastAsia="Times New Roman" w:hAnsi="Consolas"/>
      <w:sz w:val="21"/>
      <w:szCs w:val="21"/>
      <w:lang w:val="lb-LU" w:eastAsia="lb-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DFF08BC-691F-4A27-AF4F-3C3138CE1795}"/>
</file>

<file path=customXml/itemProps2.xml><?xml version="1.0" encoding="utf-8"?>
<ds:datastoreItem xmlns:ds="http://schemas.openxmlformats.org/officeDocument/2006/customXml" ds:itemID="{B9201395-1FA7-4585-8A71-BFA8908BCB2D}"/>
</file>

<file path=customXml/itemProps3.xml><?xml version="1.0" encoding="utf-8"?>
<ds:datastoreItem xmlns:ds="http://schemas.openxmlformats.org/officeDocument/2006/customXml" ds:itemID="{FB3B69E0-78FD-4F7C-B7B0-232286BF3720}"/>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1816</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cp:lastPrinted>2009-05-08T10:15:00Z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