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F18" w:rsidRDefault="00286F18" w:rsidP="003160E8">
      <w:pPr>
        <w:autoSpaceDE w:val="0"/>
        <w:autoSpaceDN w:val="0"/>
        <w:adjustRightInd w:val="0"/>
        <w:jc w:val="both"/>
        <w:rPr>
          <w:rFonts w:ascii="Arial" w:hAnsi="Arial" w:cs="Arial"/>
          <w:b/>
          <w:bCs/>
          <w:sz w:val="22"/>
          <w:szCs w:val="22"/>
        </w:rPr>
      </w:pPr>
      <w:bookmarkStart w:id="0" w:name="_GoBack"/>
      <w:bookmarkEnd w:id="0"/>
      <w:r w:rsidRPr="003160E8">
        <w:rPr>
          <w:rFonts w:ascii="Arial" w:hAnsi="Arial" w:cs="Arial"/>
          <w:b/>
          <w:bCs/>
          <w:sz w:val="22"/>
          <w:szCs w:val="22"/>
        </w:rPr>
        <w:t>5888</w:t>
      </w:r>
      <w:r w:rsidR="003160E8" w:rsidRPr="003160E8">
        <w:rPr>
          <w:rFonts w:ascii="Arial" w:hAnsi="Arial" w:cs="Arial"/>
          <w:b/>
          <w:bCs/>
          <w:sz w:val="22"/>
          <w:szCs w:val="22"/>
        </w:rPr>
        <w:t> : résumé</w:t>
      </w:r>
    </w:p>
    <w:p w:rsidR="00B44E9D" w:rsidRPr="003160E8" w:rsidRDefault="00B44E9D" w:rsidP="003160E8">
      <w:pPr>
        <w:autoSpaceDE w:val="0"/>
        <w:autoSpaceDN w:val="0"/>
        <w:adjustRightInd w:val="0"/>
        <w:jc w:val="both"/>
        <w:rPr>
          <w:rFonts w:ascii="Arial" w:hAnsi="Arial" w:cs="Arial"/>
          <w:b/>
          <w:bCs/>
          <w:sz w:val="22"/>
          <w:szCs w:val="22"/>
        </w:rPr>
      </w:pPr>
    </w:p>
    <w:p w:rsidR="0045177B" w:rsidRDefault="00286F18" w:rsidP="0045177B">
      <w:pPr>
        <w:autoSpaceDE w:val="0"/>
        <w:autoSpaceDN w:val="0"/>
        <w:adjustRightInd w:val="0"/>
        <w:jc w:val="both"/>
        <w:rPr>
          <w:rFonts w:ascii="Arial" w:hAnsi="Arial" w:cs="Arial"/>
          <w:sz w:val="22"/>
          <w:szCs w:val="22"/>
          <w:lang w:val="fr-LU" w:eastAsia="fr-LU"/>
        </w:rPr>
      </w:pPr>
      <w:r w:rsidRPr="003160E8">
        <w:rPr>
          <w:rFonts w:ascii="Arial" w:hAnsi="Arial" w:cs="Arial"/>
          <w:sz w:val="22"/>
          <w:szCs w:val="22"/>
        </w:rPr>
        <w:t xml:space="preserve">La législation </w:t>
      </w:r>
      <w:r w:rsidR="00B44E9D">
        <w:rPr>
          <w:rFonts w:ascii="Arial" w:hAnsi="Arial" w:cs="Arial"/>
          <w:sz w:val="22"/>
          <w:szCs w:val="22"/>
        </w:rPr>
        <w:t xml:space="preserve">cynégétique </w:t>
      </w:r>
      <w:r w:rsidRPr="003160E8">
        <w:rPr>
          <w:rFonts w:ascii="Arial" w:hAnsi="Arial" w:cs="Arial"/>
          <w:sz w:val="22"/>
          <w:szCs w:val="22"/>
        </w:rPr>
        <w:t xml:space="preserve">actuelle </w:t>
      </w:r>
      <w:r w:rsidR="002542D5">
        <w:rPr>
          <w:rFonts w:ascii="Arial" w:hAnsi="Arial" w:cs="Arial"/>
          <w:sz w:val="22"/>
          <w:szCs w:val="22"/>
          <w:lang w:val="fr-LU" w:eastAsia="fr-LU"/>
        </w:rPr>
        <w:t>comprend</w:t>
      </w:r>
      <w:r w:rsidR="0045177B" w:rsidRPr="00ED3DB1">
        <w:rPr>
          <w:rFonts w:ascii="Arial" w:hAnsi="Arial" w:cs="Arial"/>
          <w:sz w:val="22"/>
          <w:szCs w:val="22"/>
          <w:lang w:val="fr-LU" w:eastAsia="fr-LU"/>
        </w:rPr>
        <w:t xml:space="preserve"> deux lois fondamentales, celle du 19 mai 1885 sur la chasse et celle du 20 juillet 1925 sur l’amodiation de la chasse et l’indemnisation des dégâts causés par le gibier. Par la suite, </w:t>
      </w:r>
      <w:r w:rsidR="00A93757" w:rsidRPr="00ED3DB1">
        <w:rPr>
          <w:rFonts w:ascii="Arial" w:hAnsi="Arial" w:cs="Arial"/>
          <w:sz w:val="22"/>
          <w:szCs w:val="22"/>
          <w:lang w:val="fr-LU" w:eastAsia="fr-LU"/>
        </w:rPr>
        <w:t xml:space="preserve">un nombre impressionnant de lois n’ont apporté que des modifications partielles </w:t>
      </w:r>
      <w:r w:rsidR="003B33F6">
        <w:rPr>
          <w:rFonts w:ascii="Arial" w:hAnsi="Arial" w:cs="Arial"/>
          <w:sz w:val="22"/>
          <w:szCs w:val="22"/>
          <w:lang w:val="fr-LU" w:eastAsia="fr-LU"/>
        </w:rPr>
        <w:t xml:space="preserve">et sporadiques </w:t>
      </w:r>
      <w:r w:rsidR="00A93757" w:rsidRPr="00ED3DB1">
        <w:rPr>
          <w:rFonts w:ascii="Arial" w:hAnsi="Arial" w:cs="Arial"/>
          <w:sz w:val="22"/>
          <w:szCs w:val="22"/>
          <w:lang w:val="fr-LU" w:eastAsia="fr-LU"/>
        </w:rPr>
        <w:t>aux textes existants, rendant leur comp</w:t>
      </w:r>
      <w:r w:rsidR="003B33F6">
        <w:rPr>
          <w:rFonts w:ascii="Arial" w:hAnsi="Arial" w:cs="Arial"/>
          <w:sz w:val="22"/>
          <w:szCs w:val="22"/>
          <w:lang w:val="fr-LU" w:eastAsia="fr-LU"/>
        </w:rPr>
        <w:t>réhension extrêmement difficile</w:t>
      </w:r>
      <w:r w:rsidR="00407438">
        <w:rPr>
          <w:rFonts w:ascii="Arial" w:hAnsi="Arial" w:cs="Arial"/>
          <w:sz w:val="22"/>
          <w:szCs w:val="22"/>
          <w:lang w:val="fr-LU" w:eastAsia="fr-LU"/>
        </w:rPr>
        <w:t xml:space="preserve">. Ainsi, </w:t>
      </w:r>
      <w:r w:rsidR="0045177B" w:rsidRPr="00ED3DB1">
        <w:rPr>
          <w:rFonts w:ascii="Arial" w:hAnsi="Arial" w:cs="Arial"/>
          <w:sz w:val="22"/>
          <w:szCs w:val="22"/>
          <w:lang w:val="fr-LU" w:eastAsia="fr-LU"/>
        </w:rPr>
        <w:t>la rédaction d’un texte unique et coordonné</w:t>
      </w:r>
      <w:r w:rsidR="00407438">
        <w:rPr>
          <w:rFonts w:ascii="Arial" w:hAnsi="Arial" w:cs="Arial"/>
          <w:sz w:val="22"/>
          <w:szCs w:val="22"/>
          <w:lang w:val="fr-LU" w:eastAsia="fr-LU"/>
        </w:rPr>
        <w:t xml:space="preserve"> est devenue inévitable.</w:t>
      </w:r>
      <w:r w:rsidR="00A93757">
        <w:rPr>
          <w:rFonts w:ascii="Arial" w:hAnsi="Arial" w:cs="Arial"/>
          <w:sz w:val="22"/>
          <w:szCs w:val="22"/>
          <w:lang w:val="fr-LU" w:eastAsia="fr-LU"/>
        </w:rPr>
        <w:t xml:space="preserve"> </w:t>
      </w:r>
    </w:p>
    <w:p w:rsidR="00A93757" w:rsidRPr="00ED3DB1" w:rsidRDefault="00A93757" w:rsidP="0045177B">
      <w:pPr>
        <w:autoSpaceDE w:val="0"/>
        <w:autoSpaceDN w:val="0"/>
        <w:adjustRightInd w:val="0"/>
        <w:jc w:val="both"/>
        <w:rPr>
          <w:rFonts w:ascii="Arial" w:hAnsi="Arial" w:cs="Arial"/>
          <w:sz w:val="22"/>
          <w:szCs w:val="22"/>
          <w:lang w:val="fr-LU" w:eastAsia="fr-LU"/>
        </w:rPr>
      </w:pPr>
    </w:p>
    <w:p w:rsidR="0045177B" w:rsidRDefault="00A93757" w:rsidP="0045177B">
      <w:pPr>
        <w:autoSpaceDE w:val="0"/>
        <w:autoSpaceDN w:val="0"/>
        <w:adjustRightInd w:val="0"/>
        <w:jc w:val="both"/>
        <w:rPr>
          <w:rFonts w:ascii="Arial" w:hAnsi="Arial" w:cs="Arial"/>
          <w:sz w:val="22"/>
          <w:szCs w:val="22"/>
          <w:lang w:val="fr-LU" w:eastAsia="fr-LU"/>
        </w:rPr>
      </w:pPr>
      <w:r>
        <w:rPr>
          <w:rFonts w:ascii="Arial" w:hAnsi="Arial" w:cs="Arial"/>
          <w:sz w:val="22"/>
          <w:szCs w:val="22"/>
          <w:lang w:val="fr-LU" w:eastAsia="fr-LU"/>
        </w:rPr>
        <w:t>E</w:t>
      </w:r>
      <w:r w:rsidR="0045177B" w:rsidRPr="00ED3DB1">
        <w:rPr>
          <w:rFonts w:ascii="Arial" w:hAnsi="Arial" w:cs="Arial"/>
          <w:sz w:val="22"/>
          <w:szCs w:val="22"/>
          <w:lang w:val="fr-LU" w:eastAsia="fr-LU"/>
        </w:rPr>
        <w:t xml:space="preserve">n automne 2003, la Commission de l’Environnement de la Chambre des Députés </w:t>
      </w:r>
      <w:r>
        <w:rPr>
          <w:rFonts w:ascii="Arial" w:hAnsi="Arial" w:cs="Arial"/>
          <w:sz w:val="22"/>
          <w:szCs w:val="22"/>
          <w:lang w:val="fr-LU" w:eastAsia="fr-LU"/>
        </w:rPr>
        <w:t xml:space="preserve">a décidé </w:t>
      </w:r>
      <w:r w:rsidR="0045177B" w:rsidRPr="00ED3DB1">
        <w:rPr>
          <w:rFonts w:ascii="Arial" w:hAnsi="Arial" w:cs="Arial"/>
          <w:sz w:val="22"/>
          <w:szCs w:val="22"/>
          <w:lang w:val="fr-LU" w:eastAsia="fr-LU"/>
        </w:rPr>
        <w:t>d’organiser un débat d’orientation sur la chasse.</w:t>
      </w:r>
      <w:r w:rsidR="0045177B">
        <w:rPr>
          <w:rFonts w:ascii="Arial" w:hAnsi="Arial" w:cs="Arial"/>
          <w:sz w:val="22"/>
          <w:szCs w:val="22"/>
          <w:lang w:val="fr-LU" w:eastAsia="fr-LU"/>
        </w:rPr>
        <w:t xml:space="preserve"> </w:t>
      </w:r>
      <w:r w:rsidR="002542D5">
        <w:rPr>
          <w:rFonts w:ascii="Arial" w:hAnsi="Arial" w:cs="Arial"/>
          <w:sz w:val="22"/>
          <w:szCs w:val="22"/>
          <w:lang w:val="fr-LU" w:eastAsia="fr-LU"/>
        </w:rPr>
        <w:t>L</w:t>
      </w:r>
      <w:r w:rsidR="0045177B" w:rsidRPr="00ED3DB1">
        <w:rPr>
          <w:rFonts w:ascii="Arial" w:hAnsi="Arial" w:cs="Arial"/>
          <w:sz w:val="22"/>
          <w:szCs w:val="22"/>
          <w:lang w:val="fr-LU" w:eastAsia="fr-LU"/>
        </w:rPr>
        <w:t xml:space="preserve">a Commission a présenté ses conclusions dans </w:t>
      </w:r>
      <w:r w:rsidR="00407438">
        <w:rPr>
          <w:rFonts w:ascii="Arial" w:hAnsi="Arial" w:cs="Arial"/>
          <w:sz w:val="22"/>
          <w:szCs w:val="22"/>
          <w:lang w:val="fr-LU" w:eastAsia="fr-LU"/>
        </w:rPr>
        <w:t>u</w:t>
      </w:r>
      <w:r w:rsidR="0045177B" w:rsidRPr="00ED3DB1">
        <w:rPr>
          <w:rFonts w:ascii="Arial" w:hAnsi="Arial" w:cs="Arial"/>
          <w:sz w:val="22"/>
          <w:szCs w:val="22"/>
          <w:lang w:val="fr-LU" w:eastAsia="fr-LU"/>
        </w:rPr>
        <w:t>n rapport.</w:t>
      </w:r>
      <w:r w:rsidR="007A21E5">
        <w:rPr>
          <w:rFonts w:ascii="Arial" w:hAnsi="Arial" w:cs="Arial"/>
          <w:sz w:val="22"/>
          <w:szCs w:val="22"/>
          <w:lang w:val="fr-LU" w:eastAsia="fr-LU"/>
        </w:rPr>
        <w:t xml:space="preserve"> </w:t>
      </w:r>
      <w:r w:rsidR="0045177B" w:rsidRPr="00ED3DB1">
        <w:rPr>
          <w:rFonts w:ascii="Arial" w:hAnsi="Arial" w:cs="Arial"/>
          <w:sz w:val="22"/>
          <w:szCs w:val="22"/>
          <w:lang w:val="fr-LU" w:eastAsia="fr-LU"/>
        </w:rPr>
        <w:t>Suite à un débat en séance plénière, la Chambre des Députés a présenté la motion du 21 juin 2007 dans laquel</w:t>
      </w:r>
      <w:r w:rsidR="00407438">
        <w:rPr>
          <w:rFonts w:ascii="Arial" w:hAnsi="Arial" w:cs="Arial"/>
          <w:sz w:val="22"/>
          <w:szCs w:val="22"/>
          <w:lang w:val="fr-LU" w:eastAsia="fr-LU"/>
        </w:rPr>
        <w:t>le elle invite le Gouvernement :</w:t>
      </w:r>
    </w:p>
    <w:p w:rsidR="003B33F6" w:rsidRPr="00407438" w:rsidRDefault="003B33F6" w:rsidP="0045177B">
      <w:pPr>
        <w:autoSpaceDE w:val="0"/>
        <w:autoSpaceDN w:val="0"/>
        <w:adjustRightInd w:val="0"/>
        <w:jc w:val="both"/>
        <w:rPr>
          <w:rFonts w:ascii="Arial" w:hAnsi="Arial" w:cs="Arial"/>
          <w:sz w:val="22"/>
          <w:szCs w:val="22"/>
          <w:lang w:val="fr-LU" w:eastAsia="fr-LU"/>
        </w:rPr>
      </w:pPr>
    </w:p>
    <w:p w:rsidR="0045177B" w:rsidRPr="00407438" w:rsidRDefault="0045177B" w:rsidP="0045177B">
      <w:pPr>
        <w:numPr>
          <w:ilvl w:val="0"/>
          <w:numId w:val="4"/>
        </w:numPr>
        <w:autoSpaceDE w:val="0"/>
        <w:autoSpaceDN w:val="0"/>
        <w:adjustRightInd w:val="0"/>
        <w:jc w:val="both"/>
        <w:rPr>
          <w:rFonts w:ascii="Arial" w:hAnsi="Arial" w:cs="Arial"/>
          <w:iCs/>
          <w:sz w:val="22"/>
          <w:szCs w:val="22"/>
          <w:lang w:val="fr-LU" w:eastAsia="fr-LU"/>
        </w:rPr>
      </w:pPr>
      <w:r w:rsidRPr="00407438">
        <w:rPr>
          <w:rFonts w:ascii="Arial" w:hAnsi="Arial" w:cs="Arial"/>
          <w:iCs/>
          <w:sz w:val="22"/>
          <w:szCs w:val="22"/>
          <w:lang w:val="fr-LU" w:eastAsia="fr-LU"/>
        </w:rPr>
        <w:t xml:space="preserve">à remplacer la législation existante par une nouvelle loi sur la chasse qui regroupe en un seul </w:t>
      </w:r>
      <w:r w:rsidR="002542D5">
        <w:rPr>
          <w:rFonts w:ascii="Arial" w:hAnsi="Arial" w:cs="Arial"/>
          <w:iCs/>
          <w:sz w:val="22"/>
          <w:szCs w:val="22"/>
          <w:lang w:val="fr-LU" w:eastAsia="fr-LU"/>
        </w:rPr>
        <w:t>texte</w:t>
      </w:r>
      <w:r w:rsidRPr="00407438">
        <w:rPr>
          <w:rFonts w:ascii="Arial" w:hAnsi="Arial" w:cs="Arial"/>
          <w:iCs/>
          <w:sz w:val="22"/>
          <w:szCs w:val="22"/>
          <w:lang w:val="fr-LU" w:eastAsia="fr-LU"/>
        </w:rPr>
        <w:t xml:space="preserve"> toutes les dis</w:t>
      </w:r>
      <w:r w:rsidR="00DE0876">
        <w:rPr>
          <w:rFonts w:ascii="Arial" w:hAnsi="Arial" w:cs="Arial"/>
          <w:iCs/>
          <w:sz w:val="22"/>
          <w:szCs w:val="22"/>
          <w:lang w:val="fr-LU" w:eastAsia="fr-LU"/>
        </w:rPr>
        <w:t>positions relatives à la chasse ;</w:t>
      </w:r>
    </w:p>
    <w:p w:rsidR="002542D5" w:rsidRDefault="0045177B" w:rsidP="003B33F6">
      <w:pPr>
        <w:numPr>
          <w:ilvl w:val="0"/>
          <w:numId w:val="4"/>
        </w:numPr>
        <w:autoSpaceDE w:val="0"/>
        <w:autoSpaceDN w:val="0"/>
        <w:adjustRightInd w:val="0"/>
        <w:jc w:val="both"/>
        <w:rPr>
          <w:rFonts w:ascii="Arial" w:hAnsi="Arial" w:cs="Arial"/>
          <w:iCs/>
          <w:sz w:val="22"/>
          <w:szCs w:val="22"/>
          <w:lang w:val="fr-LU" w:eastAsia="fr-LU"/>
        </w:rPr>
      </w:pPr>
      <w:r w:rsidRPr="00407438">
        <w:rPr>
          <w:rFonts w:ascii="Arial" w:hAnsi="Arial" w:cs="Arial"/>
          <w:iCs/>
          <w:sz w:val="22"/>
          <w:szCs w:val="22"/>
          <w:lang w:val="fr-LU" w:eastAsia="fr-LU"/>
        </w:rPr>
        <w:t>à définir clairement les objectifs de la chasse de façon à ce qu’ils répondent à l’intérêt géné</w:t>
      </w:r>
      <w:r w:rsidR="002542D5">
        <w:rPr>
          <w:rFonts w:ascii="Arial" w:hAnsi="Arial" w:cs="Arial"/>
          <w:iCs/>
          <w:sz w:val="22"/>
          <w:szCs w:val="22"/>
          <w:lang w:val="fr-LU" w:eastAsia="fr-LU"/>
        </w:rPr>
        <w:t>ral ;</w:t>
      </w:r>
    </w:p>
    <w:p w:rsidR="003B33F6" w:rsidRPr="00407438" w:rsidRDefault="0045177B" w:rsidP="003B33F6">
      <w:pPr>
        <w:numPr>
          <w:ilvl w:val="0"/>
          <w:numId w:val="4"/>
        </w:numPr>
        <w:autoSpaceDE w:val="0"/>
        <w:autoSpaceDN w:val="0"/>
        <w:adjustRightInd w:val="0"/>
        <w:jc w:val="both"/>
        <w:rPr>
          <w:rFonts w:ascii="Arial" w:hAnsi="Arial" w:cs="Arial"/>
          <w:iCs/>
          <w:sz w:val="22"/>
          <w:szCs w:val="22"/>
          <w:lang w:val="fr-LU" w:eastAsia="fr-LU"/>
        </w:rPr>
      </w:pPr>
      <w:r w:rsidRPr="00407438">
        <w:rPr>
          <w:rFonts w:ascii="Arial" w:hAnsi="Arial" w:cs="Arial"/>
          <w:iCs/>
          <w:sz w:val="22"/>
          <w:szCs w:val="22"/>
          <w:lang w:val="fr-LU" w:eastAsia="fr-LU"/>
        </w:rPr>
        <w:t>à organiser la chass</w:t>
      </w:r>
      <w:r w:rsidR="00DE0876">
        <w:rPr>
          <w:rFonts w:ascii="Arial" w:hAnsi="Arial" w:cs="Arial"/>
          <w:iCs/>
          <w:sz w:val="22"/>
          <w:szCs w:val="22"/>
          <w:lang w:val="fr-LU" w:eastAsia="fr-LU"/>
        </w:rPr>
        <w:t>e conformément à ces objectifs ;</w:t>
      </w:r>
    </w:p>
    <w:p w:rsidR="0045177B" w:rsidRPr="00407438" w:rsidRDefault="0045177B" w:rsidP="003B33F6">
      <w:pPr>
        <w:numPr>
          <w:ilvl w:val="0"/>
          <w:numId w:val="4"/>
        </w:numPr>
        <w:autoSpaceDE w:val="0"/>
        <w:autoSpaceDN w:val="0"/>
        <w:adjustRightInd w:val="0"/>
        <w:jc w:val="both"/>
        <w:rPr>
          <w:rFonts w:ascii="Arial" w:hAnsi="Arial" w:cs="Arial"/>
          <w:iCs/>
          <w:sz w:val="22"/>
          <w:szCs w:val="22"/>
          <w:lang w:val="fr-LU" w:eastAsia="fr-LU"/>
        </w:rPr>
      </w:pPr>
      <w:r w:rsidRPr="00407438">
        <w:rPr>
          <w:rFonts w:ascii="Arial" w:hAnsi="Arial" w:cs="Arial"/>
          <w:iCs/>
          <w:sz w:val="22"/>
          <w:szCs w:val="22"/>
          <w:lang w:val="fr-LU" w:eastAsia="fr-LU"/>
        </w:rPr>
        <w:t xml:space="preserve">à abolir la notion d’animaux nuisibles et </w:t>
      </w:r>
      <w:r w:rsidR="00DE0876">
        <w:rPr>
          <w:rFonts w:ascii="Arial" w:hAnsi="Arial" w:cs="Arial"/>
          <w:iCs/>
          <w:sz w:val="22"/>
          <w:szCs w:val="22"/>
          <w:lang w:val="fr-LU" w:eastAsia="fr-LU"/>
        </w:rPr>
        <w:t>malfaisants dans la législation ;</w:t>
      </w:r>
    </w:p>
    <w:p w:rsidR="00DE0876" w:rsidRDefault="0045177B" w:rsidP="0045177B">
      <w:pPr>
        <w:numPr>
          <w:ilvl w:val="0"/>
          <w:numId w:val="5"/>
        </w:numPr>
        <w:autoSpaceDE w:val="0"/>
        <w:autoSpaceDN w:val="0"/>
        <w:adjustRightInd w:val="0"/>
        <w:jc w:val="both"/>
        <w:rPr>
          <w:rFonts w:ascii="Arial" w:hAnsi="Arial" w:cs="Arial"/>
          <w:iCs/>
          <w:sz w:val="22"/>
          <w:szCs w:val="22"/>
          <w:lang w:val="fr-LU" w:eastAsia="fr-LU"/>
        </w:rPr>
      </w:pPr>
      <w:r w:rsidRPr="00DE0876">
        <w:rPr>
          <w:rFonts w:ascii="Arial" w:hAnsi="Arial" w:cs="Arial"/>
          <w:iCs/>
          <w:sz w:val="22"/>
          <w:szCs w:val="22"/>
          <w:lang w:val="fr-LU" w:eastAsia="fr-LU"/>
        </w:rPr>
        <w:t>à interdire le piégeage en prévoyant que des exceptions à ce principe sont uniquement autorisées par le ministre ayant l’Envir</w:t>
      </w:r>
      <w:r w:rsidR="00DE0876">
        <w:rPr>
          <w:rFonts w:ascii="Arial" w:hAnsi="Arial" w:cs="Arial"/>
          <w:iCs/>
          <w:sz w:val="22"/>
          <w:szCs w:val="22"/>
          <w:lang w:val="fr-LU" w:eastAsia="fr-LU"/>
        </w:rPr>
        <w:t>onnement dans ses attributions ;</w:t>
      </w:r>
    </w:p>
    <w:p w:rsidR="0045177B" w:rsidRPr="00DE0876" w:rsidRDefault="0045177B" w:rsidP="0045177B">
      <w:pPr>
        <w:numPr>
          <w:ilvl w:val="0"/>
          <w:numId w:val="5"/>
        </w:numPr>
        <w:autoSpaceDE w:val="0"/>
        <w:autoSpaceDN w:val="0"/>
        <w:adjustRightInd w:val="0"/>
        <w:jc w:val="both"/>
        <w:rPr>
          <w:rFonts w:ascii="Arial" w:hAnsi="Arial" w:cs="Arial"/>
          <w:iCs/>
          <w:sz w:val="22"/>
          <w:szCs w:val="22"/>
          <w:lang w:val="fr-LU" w:eastAsia="fr-LU"/>
        </w:rPr>
      </w:pPr>
      <w:r w:rsidRPr="00DE0876">
        <w:rPr>
          <w:rFonts w:ascii="Arial" w:hAnsi="Arial" w:cs="Arial"/>
          <w:iCs/>
          <w:sz w:val="22"/>
          <w:szCs w:val="22"/>
          <w:lang w:val="fr-LU" w:eastAsia="fr-LU"/>
        </w:rPr>
        <w:t>à réglementer la signalisation des battues et à renforcer les as</w:t>
      </w:r>
      <w:r w:rsidR="00DE0876">
        <w:rPr>
          <w:rFonts w:ascii="Arial" w:hAnsi="Arial" w:cs="Arial"/>
          <w:iCs/>
          <w:sz w:val="22"/>
          <w:szCs w:val="22"/>
          <w:lang w:val="fr-LU" w:eastAsia="fr-LU"/>
        </w:rPr>
        <w:t>pects sécuritaires de la chasse ;</w:t>
      </w:r>
    </w:p>
    <w:p w:rsidR="0045177B" w:rsidRPr="00407438" w:rsidRDefault="0045177B" w:rsidP="0045177B">
      <w:pPr>
        <w:numPr>
          <w:ilvl w:val="0"/>
          <w:numId w:val="5"/>
        </w:numPr>
        <w:autoSpaceDE w:val="0"/>
        <w:autoSpaceDN w:val="0"/>
        <w:adjustRightInd w:val="0"/>
        <w:jc w:val="both"/>
        <w:rPr>
          <w:rFonts w:ascii="Arial" w:hAnsi="Arial" w:cs="Arial"/>
          <w:iCs/>
          <w:sz w:val="22"/>
          <w:szCs w:val="22"/>
          <w:lang w:val="fr-LU" w:eastAsia="fr-LU"/>
        </w:rPr>
      </w:pPr>
      <w:r w:rsidRPr="00407438">
        <w:rPr>
          <w:rFonts w:ascii="Arial" w:hAnsi="Arial" w:cs="Arial"/>
          <w:iCs/>
          <w:sz w:val="22"/>
          <w:szCs w:val="22"/>
          <w:lang w:val="fr-LU" w:eastAsia="fr-LU"/>
        </w:rPr>
        <w:t>à r</w:t>
      </w:r>
      <w:r w:rsidR="003B33F6" w:rsidRPr="00407438">
        <w:rPr>
          <w:rFonts w:ascii="Arial" w:hAnsi="Arial" w:cs="Arial"/>
          <w:iCs/>
          <w:sz w:val="22"/>
          <w:szCs w:val="22"/>
          <w:lang w:val="fr-LU" w:eastAsia="fr-LU"/>
        </w:rPr>
        <w:t>éformer les syndicats de chasse. </w:t>
      </w:r>
    </w:p>
    <w:p w:rsidR="0045177B" w:rsidRPr="00ED3DB1" w:rsidRDefault="0045177B" w:rsidP="0045177B">
      <w:pPr>
        <w:autoSpaceDE w:val="0"/>
        <w:autoSpaceDN w:val="0"/>
        <w:adjustRightInd w:val="0"/>
        <w:jc w:val="both"/>
        <w:rPr>
          <w:rFonts w:ascii="Arial" w:hAnsi="Arial" w:cs="Arial"/>
          <w:sz w:val="22"/>
          <w:szCs w:val="22"/>
          <w:lang w:val="fr-LU" w:eastAsia="fr-LU"/>
        </w:rPr>
      </w:pPr>
    </w:p>
    <w:p w:rsidR="000B1FCE" w:rsidRPr="00ED3DB1" w:rsidRDefault="00823072" w:rsidP="000B1FCE">
      <w:pPr>
        <w:jc w:val="both"/>
        <w:rPr>
          <w:rFonts w:ascii="Arial" w:hAnsi="Arial" w:cs="Arial"/>
        </w:rPr>
      </w:pPr>
      <w:r>
        <w:rPr>
          <w:rFonts w:ascii="Arial" w:hAnsi="Arial" w:cs="Arial"/>
          <w:sz w:val="22"/>
          <w:szCs w:val="22"/>
          <w:lang w:val="fr-LU" w:eastAsia="fr-LU"/>
        </w:rPr>
        <w:t xml:space="preserve">De même, </w:t>
      </w:r>
      <w:r w:rsidRPr="00ED3DB1">
        <w:rPr>
          <w:rFonts w:ascii="Arial" w:hAnsi="Arial" w:cs="Arial"/>
          <w:sz w:val="22"/>
          <w:szCs w:val="22"/>
          <w:lang w:val="fr-LU" w:eastAsia="fr-LU"/>
        </w:rPr>
        <w:t xml:space="preserve">la législation </w:t>
      </w:r>
      <w:r w:rsidR="00EE11C1">
        <w:rPr>
          <w:rFonts w:ascii="Arial" w:hAnsi="Arial" w:cs="Arial"/>
          <w:sz w:val="22"/>
          <w:szCs w:val="22"/>
          <w:lang w:val="fr-LU" w:eastAsia="fr-LU"/>
        </w:rPr>
        <w:t xml:space="preserve">cynégétique luxembourgeoise </w:t>
      </w:r>
      <w:r>
        <w:rPr>
          <w:rFonts w:ascii="Arial" w:hAnsi="Arial" w:cs="Arial"/>
          <w:sz w:val="22"/>
          <w:szCs w:val="22"/>
          <w:lang w:val="fr-LU" w:eastAsia="fr-LU"/>
        </w:rPr>
        <w:t>est</w:t>
      </w:r>
      <w:r w:rsidRPr="00ED3DB1">
        <w:rPr>
          <w:rFonts w:ascii="Arial" w:hAnsi="Arial" w:cs="Arial"/>
          <w:sz w:val="22"/>
          <w:szCs w:val="22"/>
          <w:lang w:val="fr-LU" w:eastAsia="fr-LU"/>
        </w:rPr>
        <w:t xml:space="preserve"> adapt</w:t>
      </w:r>
      <w:r>
        <w:rPr>
          <w:rFonts w:ascii="Arial" w:hAnsi="Arial" w:cs="Arial"/>
          <w:sz w:val="22"/>
          <w:szCs w:val="22"/>
          <w:lang w:val="fr-LU" w:eastAsia="fr-LU"/>
        </w:rPr>
        <w:t>é</w:t>
      </w:r>
      <w:r w:rsidRPr="00ED3DB1">
        <w:rPr>
          <w:rFonts w:ascii="Arial" w:hAnsi="Arial" w:cs="Arial"/>
          <w:sz w:val="22"/>
          <w:szCs w:val="22"/>
          <w:lang w:val="fr-LU" w:eastAsia="fr-LU"/>
        </w:rPr>
        <w:t xml:space="preserve">e </w:t>
      </w:r>
      <w:r w:rsidR="000B1FCE" w:rsidRPr="00ED3DB1">
        <w:rPr>
          <w:rFonts w:ascii="Arial" w:hAnsi="Arial" w:cs="Arial"/>
          <w:sz w:val="22"/>
          <w:szCs w:val="22"/>
          <w:lang w:val="fr-LU" w:eastAsia="fr-LU"/>
        </w:rPr>
        <w:t xml:space="preserve">à la jurisprudence tant de la Cour européenne des droits de l’Homme que de la Cour administrative luxembourgeoise. </w:t>
      </w:r>
    </w:p>
    <w:p w:rsidR="00A93757" w:rsidRDefault="00A93757" w:rsidP="00171378">
      <w:pPr>
        <w:jc w:val="both"/>
        <w:rPr>
          <w:rFonts w:ascii="Arial" w:hAnsi="Arial" w:cs="Arial"/>
          <w:sz w:val="22"/>
          <w:szCs w:val="22"/>
          <w:lang w:val="fr-LU" w:eastAsia="fr-LU"/>
        </w:rPr>
      </w:pPr>
    </w:p>
    <w:p w:rsidR="0045177B" w:rsidRPr="00ED3DB1" w:rsidRDefault="0045177B" w:rsidP="00171378">
      <w:pPr>
        <w:jc w:val="both"/>
        <w:rPr>
          <w:rFonts w:ascii="Arial" w:hAnsi="Arial" w:cs="Arial"/>
          <w:sz w:val="22"/>
          <w:szCs w:val="22"/>
          <w:lang w:val="fr-LU" w:eastAsia="fr-LU"/>
        </w:rPr>
      </w:pPr>
      <w:r w:rsidRPr="00ED3DB1">
        <w:rPr>
          <w:rFonts w:ascii="Arial" w:hAnsi="Arial" w:cs="Arial"/>
          <w:sz w:val="22"/>
          <w:szCs w:val="22"/>
          <w:lang w:val="fr-LU" w:eastAsia="fr-LU"/>
        </w:rPr>
        <w:t>Le 10 juillet 2007, la Cour européenne des droits de l’Homme a rendu un arrêt dans l’affaire Schneider c/ Luxembourg décidant que la législation luxembourgeoise sur la chasse et plus précisément les dispositions organisant les syndicats de chasse violent l’article 1 du Protocole No 1 (protection de la propriété) et l’article 11 (liber</w:t>
      </w:r>
      <w:r w:rsidR="00823072">
        <w:rPr>
          <w:rFonts w:ascii="Arial" w:hAnsi="Arial" w:cs="Arial"/>
          <w:sz w:val="22"/>
          <w:szCs w:val="22"/>
          <w:lang w:val="fr-LU" w:eastAsia="fr-LU"/>
        </w:rPr>
        <w:t xml:space="preserve">té de réunion et d’association) </w:t>
      </w:r>
      <w:r w:rsidRPr="00ED3DB1">
        <w:rPr>
          <w:rFonts w:ascii="Arial" w:hAnsi="Arial" w:cs="Arial"/>
          <w:sz w:val="22"/>
          <w:szCs w:val="22"/>
          <w:lang w:val="fr-LU" w:eastAsia="fr-LU"/>
        </w:rPr>
        <w:t>de la Convention. L’arrêt de la Cour a confirm</w:t>
      </w:r>
      <w:r w:rsidR="00675E84">
        <w:rPr>
          <w:rFonts w:ascii="Arial" w:hAnsi="Arial" w:cs="Arial"/>
          <w:sz w:val="22"/>
          <w:szCs w:val="22"/>
          <w:lang w:val="fr-LU" w:eastAsia="fr-LU"/>
        </w:rPr>
        <w:t>é</w:t>
      </w:r>
      <w:r w:rsidRPr="00ED3DB1">
        <w:rPr>
          <w:rFonts w:ascii="Arial" w:hAnsi="Arial" w:cs="Arial"/>
          <w:sz w:val="22"/>
          <w:szCs w:val="22"/>
          <w:lang w:val="fr-LU" w:eastAsia="fr-LU"/>
        </w:rPr>
        <w:t xml:space="preserve"> ainsi le droit invoqué par un propriétaire se disant opposant éthique à la chasse de pouvoir exclure son terrain d’une zone de chasse régie par un syndicat de chasse et de ne pas devoir adhérer à un tel syndicat de chasse.</w:t>
      </w:r>
    </w:p>
    <w:p w:rsidR="0045177B" w:rsidRPr="00ED3DB1" w:rsidRDefault="0045177B" w:rsidP="0045177B">
      <w:pPr>
        <w:autoSpaceDE w:val="0"/>
        <w:autoSpaceDN w:val="0"/>
        <w:adjustRightInd w:val="0"/>
        <w:jc w:val="both"/>
        <w:rPr>
          <w:rFonts w:ascii="Arial" w:hAnsi="Arial" w:cs="Arial"/>
          <w:sz w:val="22"/>
          <w:szCs w:val="22"/>
          <w:lang w:val="fr-LU" w:eastAsia="fr-LU"/>
        </w:rPr>
      </w:pPr>
    </w:p>
    <w:p w:rsidR="0045177B" w:rsidRPr="00ED3DB1" w:rsidRDefault="00EE11C1" w:rsidP="0045177B">
      <w:pPr>
        <w:autoSpaceDE w:val="0"/>
        <w:autoSpaceDN w:val="0"/>
        <w:adjustRightInd w:val="0"/>
        <w:jc w:val="both"/>
        <w:rPr>
          <w:rFonts w:ascii="Arial" w:hAnsi="Arial" w:cs="Arial"/>
          <w:sz w:val="22"/>
          <w:szCs w:val="22"/>
          <w:lang w:val="fr-LU" w:eastAsia="fr-LU"/>
        </w:rPr>
      </w:pPr>
      <w:r>
        <w:rPr>
          <w:rFonts w:ascii="Arial" w:hAnsi="Arial" w:cs="Arial"/>
          <w:sz w:val="22"/>
          <w:szCs w:val="22"/>
          <w:lang w:val="fr-LU" w:eastAsia="fr-LU"/>
        </w:rPr>
        <w:t>Auparavant</w:t>
      </w:r>
      <w:r w:rsidR="00675E84">
        <w:rPr>
          <w:rFonts w:ascii="Arial" w:hAnsi="Arial" w:cs="Arial"/>
          <w:sz w:val="22"/>
          <w:szCs w:val="22"/>
          <w:lang w:val="fr-LU" w:eastAsia="fr-LU"/>
        </w:rPr>
        <w:t xml:space="preserve">, </w:t>
      </w:r>
      <w:r w:rsidR="0045177B" w:rsidRPr="00ED3DB1">
        <w:rPr>
          <w:rFonts w:ascii="Arial" w:hAnsi="Arial" w:cs="Arial"/>
          <w:sz w:val="22"/>
          <w:szCs w:val="22"/>
          <w:lang w:val="fr-LU" w:eastAsia="fr-LU"/>
        </w:rPr>
        <w:t>la jurisprudence luxembourgeoise a</w:t>
      </w:r>
      <w:r>
        <w:rPr>
          <w:rFonts w:ascii="Arial" w:hAnsi="Arial" w:cs="Arial"/>
          <w:sz w:val="22"/>
          <w:szCs w:val="22"/>
          <w:lang w:val="fr-LU" w:eastAsia="fr-LU"/>
        </w:rPr>
        <w:t>vait</w:t>
      </w:r>
      <w:r w:rsidR="0045177B" w:rsidRPr="00ED3DB1">
        <w:rPr>
          <w:rFonts w:ascii="Arial" w:hAnsi="Arial" w:cs="Arial"/>
          <w:sz w:val="22"/>
          <w:szCs w:val="22"/>
          <w:lang w:val="fr-LU" w:eastAsia="fr-LU"/>
        </w:rPr>
        <w:t xml:space="preserve"> retenu</w:t>
      </w:r>
      <w:r w:rsidR="00823072">
        <w:rPr>
          <w:rFonts w:ascii="Arial" w:hAnsi="Arial" w:cs="Arial"/>
          <w:sz w:val="22"/>
          <w:szCs w:val="22"/>
          <w:lang w:val="fr-LU" w:eastAsia="fr-LU"/>
        </w:rPr>
        <w:t>,</w:t>
      </w:r>
      <w:r w:rsidR="0045177B" w:rsidRPr="00ED3DB1">
        <w:rPr>
          <w:rFonts w:ascii="Arial" w:hAnsi="Arial" w:cs="Arial"/>
          <w:sz w:val="22"/>
          <w:szCs w:val="22"/>
          <w:lang w:val="fr-LU" w:eastAsia="fr-LU"/>
        </w:rPr>
        <w:t xml:space="preserve"> en dernier ressort, que l’obligation d’adhésion au syndicat de chasse constitue une ingérence dans la liberté d’association et qu’une restriction à un droit que consacre la Convention doit être proportionnée au but légitime. </w:t>
      </w:r>
      <w:r w:rsidR="0045177B" w:rsidRPr="00ED3DB1">
        <w:rPr>
          <w:rFonts w:ascii="Arial" w:hAnsi="Arial" w:cs="Arial"/>
          <w:sz w:val="22"/>
          <w:szCs w:val="22"/>
          <w:lang w:val="fr-LU"/>
        </w:rPr>
        <w:t xml:space="preserve">En effet, dans un arrêt du 13 juillet 2004, la Cour administrative a constaté une violation de l'article 11 de la Convention </w:t>
      </w:r>
      <w:r w:rsidR="00823072" w:rsidRPr="00ED3DB1">
        <w:rPr>
          <w:rFonts w:ascii="Arial" w:hAnsi="Arial" w:cs="Arial"/>
          <w:sz w:val="22"/>
          <w:szCs w:val="22"/>
          <w:lang w:val="fr-LU" w:eastAsia="fr-LU"/>
        </w:rPr>
        <w:t>européenne des droits de l’Homme</w:t>
      </w:r>
      <w:r w:rsidR="0045177B" w:rsidRPr="00ED3DB1">
        <w:rPr>
          <w:rFonts w:ascii="Arial" w:hAnsi="Arial" w:cs="Arial"/>
          <w:sz w:val="22"/>
          <w:szCs w:val="22"/>
          <w:lang w:val="fr-LU" w:eastAsia="fr-LU"/>
        </w:rPr>
        <w:t>.</w:t>
      </w:r>
    </w:p>
    <w:p w:rsidR="0045177B" w:rsidRPr="00ED3DB1" w:rsidRDefault="0045177B" w:rsidP="0045177B">
      <w:pPr>
        <w:autoSpaceDE w:val="0"/>
        <w:autoSpaceDN w:val="0"/>
        <w:adjustRightInd w:val="0"/>
        <w:jc w:val="both"/>
        <w:rPr>
          <w:rFonts w:ascii="Arial" w:hAnsi="Arial" w:cs="Arial"/>
          <w:sz w:val="22"/>
          <w:szCs w:val="22"/>
          <w:lang w:val="fr-LU" w:eastAsia="fr-LU"/>
        </w:rPr>
      </w:pPr>
    </w:p>
    <w:p w:rsidR="0045177B" w:rsidRDefault="0045177B" w:rsidP="0045177B">
      <w:pPr>
        <w:autoSpaceDE w:val="0"/>
        <w:autoSpaceDN w:val="0"/>
        <w:adjustRightInd w:val="0"/>
        <w:jc w:val="both"/>
        <w:rPr>
          <w:rFonts w:ascii="Arial" w:hAnsi="Arial" w:cs="Arial"/>
          <w:sz w:val="22"/>
          <w:szCs w:val="22"/>
          <w:lang w:val="fr-LU" w:eastAsia="fr-LU"/>
        </w:rPr>
      </w:pPr>
      <w:r w:rsidRPr="00ED3DB1">
        <w:rPr>
          <w:rFonts w:ascii="Arial" w:hAnsi="Arial" w:cs="Arial"/>
          <w:sz w:val="22"/>
          <w:szCs w:val="22"/>
          <w:lang w:val="fr-LU" w:eastAsia="fr-LU"/>
        </w:rPr>
        <w:t>Le présent projet de loi tient compte tant de la jurisprudence luxembourgeoise que du jugement de la Cour européenne des droits de l’Homme dans l’affaire Schneider, notamment :</w:t>
      </w:r>
    </w:p>
    <w:p w:rsidR="00EE11C1" w:rsidRPr="00ED3DB1" w:rsidRDefault="00EE11C1" w:rsidP="0045177B">
      <w:pPr>
        <w:autoSpaceDE w:val="0"/>
        <w:autoSpaceDN w:val="0"/>
        <w:adjustRightInd w:val="0"/>
        <w:jc w:val="both"/>
        <w:rPr>
          <w:rFonts w:ascii="Arial" w:hAnsi="Arial" w:cs="Arial"/>
          <w:sz w:val="22"/>
          <w:szCs w:val="22"/>
          <w:lang w:val="fr-LU" w:eastAsia="fr-LU"/>
        </w:rPr>
      </w:pPr>
    </w:p>
    <w:p w:rsidR="0045177B" w:rsidRPr="00ED3DB1" w:rsidRDefault="0045177B" w:rsidP="0045177B">
      <w:pPr>
        <w:numPr>
          <w:ilvl w:val="0"/>
          <w:numId w:val="6"/>
        </w:numPr>
        <w:autoSpaceDE w:val="0"/>
        <w:autoSpaceDN w:val="0"/>
        <w:adjustRightInd w:val="0"/>
        <w:jc w:val="both"/>
        <w:rPr>
          <w:rFonts w:ascii="Arial" w:hAnsi="Arial" w:cs="Arial"/>
          <w:sz w:val="22"/>
          <w:szCs w:val="22"/>
          <w:lang w:val="fr-LU" w:eastAsia="fr-LU"/>
        </w:rPr>
      </w:pPr>
      <w:r w:rsidRPr="00ED3DB1">
        <w:rPr>
          <w:rFonts w:ascii="Arial" w:hAnsi="Arial" w:cs="Arial"/>
          <w:sz w:val="22"/>
          <w:szCs w:val="22"/>
          <w:lang w:val="fr-LU" w:eastAsia="fr-LU"/>
        </w:rPr>
        <w:t>en définissant dans les articles 1 et 2 les objectifs de la chasse qui sont d’intérêt général et en exigeant que l’exercice de la chasse réponde à cet intérêt général ainsi qu’aux exigenc</w:t>
      </w:r>
      <w:r w:rsidR="00EE11C1">
        <w:rPr>
          <w:rFonts w:ascii="Arial" w:hAnsi="Arial" w:cs="Arial"/>
          <w:sz w:val="22"/>
          <w:szCs w:val="22"/>
          <w:lang w:val="fr-LU" w:eastAsia="fr-LU"/>
        </w:rPr>
        <w:t>es d’un développement durable</w:t>
      </w:r>
    </w:p>
    <w:p w:rsidR="0045177B" w:rsidRPr="00ED3DB1" w:rsidRDefault="0045177B" w:rsidP="0045177B">
      <w:pPr>
        <w:numPr>
          <w:ilvl w:val="0"/>
          <w:numId w:val="6"/>
        </w:numPr>
        <w:autoSpaceDE w:val="0"/>
        <w:autoSpaceDN w:val="0"/>
        <w:adjustRightInd w:val="0"/>
        <w:jc w:val="both"/>
        <w:rPr>
          <w:rFonts w:ascii="Arial" w:hAnsi="Arial" w:cs="Arial"/>
          <w:sz w:val="22"/>
          <w:szCs w:val="22"/>
          <w:lang w:val="fr-LU" w:eastAsia="fr-LU"/>
        </w:rPr>
      </w:pPr>
      <w:r w:rsidRPr="00ED3DB1">
        <w:rPr>
          <w:rFonts w:ascii="Arial" w:hAnsi="Arial" w:cs="Arial"/>
          <w:sz w:val="22"/>
          <w:szCs w:val="22"/>
          <w:lang w:val="fr-LU" w:eastAsia="fr-LU"/>
        </w:rPr>
        <w:t xml:space="preserve">en subdivisant tout le territoire national en lots de chasse et en prévoyant qu’un opposant éthique ne doit plus faire partie d’un syndicat de chasse et qu’il peut retirer tous ses fonds situés sur le territoire national de la régie d’un syndicat de chasse et y </w:t>
      </w:r>
      <w:r w:rsidRPr="00ED3DB1">
        <w:rPr>
          <w:rFonts w:ascii="Arial" w:hAnsi="Arial" w:cs="Arial"/>
          <w:sz w:val="22"/>
          <w:szCs w:val="22"/>
          <w:lang w:val="fr-LU" w:eastAsia="fr-LU"/>
        </w:rPr>
        <w:lastRenderedPageBreak/>
        <w:t>fai</w:t>
      </w:r>
      <w:r w:rsidR="00E47C1E">
        <w:rPr>
          <w:rFonts w:ascii="Arial" w:hAnsi="Arial" w:cs="Arial"/>
          <w:sz w:val="22"/>
          <w:szCs w:val="22"/>
          <w:lang w:val="fr-LU" w:eastAsia="fr-LU"/>
        </w:rPr>
        <w:t xml:space="preserve">re suspendre le droit de chasse, </w:t>
      </w:r>
      <w:r w:rsidRPr="00ED3DB1">
        <w:rPr>
          <w:rFonts w:ascii="Arial" w:hAnsi="Arial" w:cs="Arial"/>
          <w:sz w:val="22"/>
          <w:szCs w:val="22"/>
          <w:lang w:val="fr-LU" w:eastAsia="fr-LU"/>
        </w:rPr>
        <w:t xml:space="preserve">à l’exception de l’organisation de chasses administratives ordonnées par le Ministre dans un intérêt général. </w:t>
      </w:r>
    </w:p>
    <w:p w:rsidR="0045177B" w:rsidRPr="00ED3DB1" w:rsidRDefault="0045177B" w:rsidP="0045177B">
      <w:pPr>
        <w:autoSpaceDE w:val="0"/>
        <w:autoSpaceDN w:val="0"/>
        <w:adjustRightInd w:val="0"/>
        <w:jc w:val="both"/>
        <w:rPr>
          <w:rFonts w:ascii="Arial" w:hAnsi="Arial" w:cs="Arial"/>
          <w:sz w:val="22"/>
          <w:szCs w:val="22"/>
          <w:lang w:val="fr-LU" w:eastAsia="fr-LU"/>
        </w:rPr>
      </w:pPr>
    </w:p>
    <w:p w:rsidR="0045177B" w:rsidRPr="00ED3DB1" w:rsidRDefault="0045177B" w:rsidP="0045177B">
      <w:pPr>
        <w:autoSpaceDE w:val="0"/>
        <w:autoSpaceDN w:val="0"/>
        <w:adjustRightInd w:val="0"/>
        <w:jc w:val="both"/>
        <w:rPr>
          <w:rFonts w:ascii="Arial" w:hAnsi="Arial" w:cs="Arial"/>
          <w:sz w:val="22"/>
          <w:szCs w:val="22"/>
          <w:lang w:val="fr-LU" w:eastAsia="fr-LU"/>
        </w:rPr>
      </w:pPr>
      <w:r w:rsidRPr="00ED3DB1">
        <w:rPr>
          <w:rFonts w:ascii="Arial" w:hAnsi="Arial" w:cs="Arial"/>
          <w:sz w:val="22"/>
          <w:szCs w:val="22"/>
          <w:lang w:val="fr-LU" w:eastAsia="fr-LU"/>
        </w:rPr>
        <w:t xml:space="preserve">Il y a cependant lieu de suivre de près les arrêts futurs de la Cour européenne  des </w:t>
      </w:r>
      <w:r w:rsidR="00E47C1E">
        <w:rPr>
          <w:rFonts w:ascii="Arial" w:hAnsi="Arial" w:cs="Arial"/>
          <w:sz w:val="22"/>
          <w:szCs w:val="22"/>
          <w:lang w:val="fr-LU" w:eastAsia="fr-LU"/>
        </w:rPr>
        <w:t>d</w:t>
      </w:r>
      <w:r w:rsidRPr="00ED3DB1">
        <w:rPr>
          <w:rFonts w:ascii="Arial" w:hAnsi="Arial" w:cs="Arial"/>
          <w:sz w:val="22"/>
          <w:szCs w:val="22"/>
          <w:lang w:val="fr-LU" w:eastAsia="fr-LU"/>
        </w:rPr>
        <w:t xml:space="preserve">roits de l’Homme concernant </w:t>
      </w:r>
      <w:r w:rsidRPr="00ED3DB1">
        <w:rPr>
          <w:rFonts w:ascii="Arial" w:hAnsi="Arial" w:cs="Arial"/>
          <w:sz w:val="22"/>
          <w:szCs w:val="22"/>
        </w:rPr>
        <w:t>les droits des opposants éthiques</w:t>
      </w:r>
      <w:r w:rsidRPr="00ED3DB1">
        <w:rPr>
          <w:rFonts w:ascii="Arial" w:hAnsi="Arial" w:cs="Arial"/>
          <w:sz w:val="22"/>
          <w:szCs w:val="22"/>
          <w:lang w:val="fr-LU" w:eastAsia="fr-LU"/>
        </w:rPr>
        <w:t xml:space="preserve">, en particulier l’affaire </w:t>
      </w:r>
      <w:proofErr w:type="spellStart"/>
      <w:r w:rsidR="00E47C1E" w:rsidRPr="00ED3DB1">
        <w:rPr>
          <w:rFonts w:ascii="Arial" w:hAnsi="Arial" w:cs="Arial"/>
          <w:sz w:val="22"/>
          <w:szCs w:val="22"/>
        </w:rPr>
        <w:t>Herrmann</w:t>
      </w:r>
      <w:proofErr w:type="spellEnd"/>
      <w:r w:rsidR="00E47C1E" w:rsidRPr="00ED3DB1">
        <w:rPr>
          <w:rFonts w:ascii="Arial" w:hAnsi="Arial" w:cs="Arial"/>
          <w:sz w:val="22"/>
          <w:szCs w:val="22"/>
        </w:rPr>
        <w:t xml:space="preserve"> c/ Allemagne</w:t>
      </w:r>
      <w:r w:rsidRPr="00ED3DB1">
        <w:rPr>
          <w:rFonts w:ascii="Arial" w:hAnsi="Arial" w:cs="Arial"/>
          <w:sz w:val="22"/>
          <w:szCs w:val="22"/>
          <w:lang w:val="fr-LU" w:eastAsia="fr-LU"/>
        </w:rPr>
        <w:t>. Au cas où ces arrêts seraient contraires à celui de la Cour dans l’affaire Schneider, une analyse approfondie des répercussions pratiques sur la ch</w:t>
      </w:r>
      <w:r w:rsidR="00E47C1E">
        <w:rPr>
          <w:rFonts w:ascii="Arial" w:hAnsi="Arial" w:cs="Arial"/>
          <w:sz w:val="22"/>
          <w:szCs w:val="22"/>
          <w:lang w:val="fr-LU" w:eastAsia="fr-LU"/>
        </w:rPr>
        <w:t>asse au Luxembourg s’imposerait</w:t>
      </w:r>
      <w:r w:rsidRPr="00ED3DB1">
        <w:rPr>
          <w:rFonts w:ascii="Arial" w:hAnsi="Arial" w:cs="Arial"/>
          <w:sz w:val="22"/>
          <w:szCs w:val="22"/>
          <w:lang w:val="fr-LU" w:eastAsia="fr-LU"/>
        </w:rPr>
        <w:t>.</w:t>
      </w:r>
    </w:p>
    <w:p w:rsidR="0045177B" w:rsidRPr="00ED3DB1" w:rsidRDefault="0045177B" w:rsidP="0045177B">
      <w:pPr>
        <w:autoSpaceDE w:val="0"/>
        <w:autoSpaceDN w:val="0"/>
        <w:adjustRightInd w:val="0"/>
        <w:jc w:val="both"/>
        <w:rPr>
          <w:rFonts w:ascii="Arial" w:hAnsi="Arial" w:cs="Arial"/>
          <w:sz w:val="22"/>
          <w:szCs w:val="22"/>
          <w:lang w:val="fr-LU" w:eastAsia="fr-LU"/>
        </w:rPr>
      </w:pPr>
    </w:p>
    <w:p w:rsidR="0045177B" w:rsidRPr="00ED3DB1" w:rsidRDefault="0045177B" w:rsidP="0045177B">
      <w:pPr>
        <w:jc w:val="both"/>
        <w:rPr>
          <w:rFonts w:ascii="Arial" w:hAnsi="Arial" w:cs="Arial"/>
          <w:sz w:val="22"/>
          <w:szCs w:val="22"/>
        </w:rPr>
      </w:pPr>
      <w:r w:rsidRPr="00ED3DB1">
        <w:rPr>
          <w:rFonts w:ascii="Arial" w:hAnsi="Arial" w:cs="Arial"/>
          <w:sz w:val="22"/>
          <w:szCs w:val="22"/>
        </w:rPr>
        <w:t xml:space="preserve">Conformément au programme gouvernemental qui prévoit d’adopter le projet de loi relative à la chasse en tenant compte de l’avis du Conseil d’État, notamment en ce qui concerne l’ancrage légal des dispositions majeures relatives à l’exercice de la chasse et de suivre de près les arrêts futurs de la Cour européenne des droits de l’homme concernant les droits des opposants éthiques à la pratique de la chasse, la Commission du Développement durable a décidé d’évacuer le projet sous rubrique dans les meilleurs délais, d’inviter le Gouvernement à suivre attentivement l’évolution de l’arrêt </w:t>
      </w:r>
      <w:proofErr w:type="spellStart"/>
      <w:r w:rsidRPr="00ED3DB1">
        <w:rPr>
          <w:rFonts w:ascii="Arial" w:hAnsi="Arial" w:cs="Arial"/>
          <w:sz w:val="22"/>
          <w:szCs w:val="22"/>
        </w:rPr>
        <w:t>Herrmann</w:t>
      </w:r>
      <w:proofErr w:type="spellEnd"/>
      <w:r w:rsidRPr="00ED3DB1">
        <w:rPr>
          <w:rFonts w:ascii="Arial" w:hAnsi="Arial" w:cs="Arial"/>
          <w:sz w:val="22"/>
          <w:szCs w:val="22"/>
        </w:rPr>
        <w:t>, à analyser en détail les effets juridiques de cet arrêt sur la législation nationale et à adapter, le cas échéant, notre législation relative à la chasse.</w:t>
      </w:r>
    </w:p>
    <w:sectPr w:rsidR="0045177B" w:rsidRPr="00ED3D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0D61"/>
    <w:multiLevelType w:val="hybridMultilevel"/>
    <w:tmpl w:val="EFCE7C2E"/>
    <w:lvl w:ilvl="0" w:tplc="2F541BD4">
      <w:start w:val="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9116C"/>
    <w:multiLevelType w:val="hybridMultilevel"/>
    <w:tmpl w:val="71B6C164"/>
    <w:lvl w:ilvl="0" w:tplc="B9B038BC">
      <w:start w:val="5"/>
      <w:numFmt w:val="bullet"/>
      <w:lvlText w:val="-"/>
      <w:lvlJc w:val="left"/>
      <w:pPr>
        <w:ind w:left="720" w:hanging="360"/>
      </w:pPr>
      <w:rPr>
        <w:rFonts w:ascii="Calibri" w:eastAsia="Calibri" w:hAnsi="Calibri" w:cs="Times New Roman" w:hint="default"/>
        <w:sz w:val="24"/>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71B5861"/>
    <w:multiLevelType w:val="hybridMultilevel"/>
    <w:tmpl w:val="B1DA824A"/>
    <w:lvl w:ilvl="0" w:tplc="B9B038BC">
      <w:start w:val="5"/>
      <w:numFmt w:val="bullet"/>
      <w:lvlText w:val="-"/>
      <w:lvlJc w:val="left"/>
      <w:pPr>
        <w:ind w:left="720" w:hanging="360"/>
      </w:pPr>
      <w:rPr>
        <w:rFonts w:ascii="Calibri" w:eastAsia="Calibri" w:hAnsi="Calibri" w:cs="Times New Roman" w:hint="default"/>
        <w:sz w:val="24"/>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3435089C"/>
    <w:multiLevelType w:val="hybridMultilevel"/>
    <w:tmpl w:val="0CDCD3F2"/>
    <w:lvl w:ilvl="0" w:tplc="B9B038BC">
      <w:start w:val="5"/>
      <w:numFmt w:val="bullet"/>
      <w:lvlText w:val="-"/>
      <w:lvlJc w:val="left"/>
      <w:pPr>
        <w:ind w:left="720" w:hanging="360"/>
      </w:pPr>
      <w:rPr>
        <w:rFonts w:ascii="Calibri" w:eastAsia="Calibri" w:hAnsi="Calibri" w:cs="Times New Roman" w:hint="default"/>
        <w:sz w:val="24"/>
      </w:rPr>
    </w:lvl>
    <w:lvl w:ilvl="1" w:tplc="88AA4A86">
      <w:numFmt w:val="bullet"/>
      <w:lvlText w:val="•"/>
      <w:lvlJc w:val="left"/>
      <w:pPr>
        <w:ind w:left="1440" w:hanging="360"/>
      </w:pPr>
      <w:rPr>
        <w:rFonts w:ascii="Arial" w:eastAsia="Times New Roman" w:hAnsi="Arial" w:cs="Arial" w:hint="default"/>
        <w:sz w:val="24"/>
      </w:rPr>
    </w:lvl>
    <w:lvl w:ilvl="2" w:tplc="88AA4A86">
      <w:numFmt w:val="bullet"/>
      <w:lvlText w:val="•"/>
      <w:lvlJc w:val="left"/>
      <w:pPr>
        <w:ind w:left="2160" w:hanging="360"/>
      </w:pPr>
      <w:rPr>
        <w:rFonts w:ascii="Arial" w:eastAsia="Times New Roman" w:hAnsi="Arial" w:cs="Arial"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3950601F"/>
    <w:multiLevelType w:val="multilevel"/>
    <w:tmpl w:val="A0EC1F9A"/>
    <w:lvl w:ilvl="0">
      <w:start w:val="5"/>
      <w:numFmt w:val="bullet"/>
      <w:lvlText w:val="-"/>
      <w:lvlJc w:val="left"/>
      <w:pPr>
        <w:tabs>
          <w:tab w:val="num" w:pos="720"/>
        </w:tabs>
        <w:ind w:left="720" w:hanging="360"/>
      </w:pPr>
      <w:rPr>
        <w:rFonts w:ascii="Calibri" w:eastAsia="Calibri" w:hAnsi="Calibri" w:cs="Times New Roman"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2D62C9"/>
    <w:multiLevelType w:val="hybridMultilevel"/>
    <w:tmpl w:val="8F90FC7E"/>
    <w:lvl w:ilvl="0" w:tplc="23FCC4D4">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4024BE5"/>
    <w:multiLevelType w:val="hybridMultilevel"/>
    <w:tmpl w:val="51E2A7F2"/>
    <w:lvl w:ilvl="0" w:tplc="B9B038BC">
      <w:start w:val="5"/>
      <w:numFmt w:val="bullet"/>
      <w:lvlText w:val="-"/>
      <w:lvlJc w:val="left"/>
      <w:pPr>
        <w:ind w:left="720" w:hanging="360"/>
      </w:pPr>
      <w:rPr>
        <w:rFonts w:ascii="Calibri" w:eastAsia="Calibri" w:hAnsi="Calibri" w:cs="Times New Roman" w:hint="default"/>
        <w:sz w:val="24"/>
      </w:rPr>
    </w:lvl>
    <w:lvl w:ilvl="1" w:tplc="B9B038BC">
      <w:start w:val="5"/>
      <w:numFmt w:val="bullet"/>
      <w:lvlText w:val="-"/>
      <w:lvlJc w:val="left"/>
      <w:pPr>
        <w:ind w:left="1440" w:hanging="360"/>
      </w:pPr>
      <w:rPr>
        <w:rFonts w:ascii="Calibri" w:eastAsia="Calibri" w:hAnsi="Calibri" w:cs="Times New Roman" w:hint="default"/>
        <w:sz w:val="24"/>
      </w:rPr>
    </w:lvl>
    <w:lvl w:ilvl="2" w:tplc="88AA4A86">
      <w:numFmt w:val="bullet"/>
      <w:lvlText w:val="•"/>
      <w:lvlJc w:val="left"/>
      <w:pPr>
        <w:ind w:left="2160" w:hanging="360"/>
      </w:pPr>
      <w:rPr>
        <w:rFonts w:ascii="Arial" w:eastAsia="Times New Roman" w:hAnsi="Arial" w:cs="Arial"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63E93ED9"/>
    <w:multiLevelType w:val="hybridMultilevel"/>
    <w:tmpl w:val="723E25AC"/>
    <w:lvl w:ilvl="0" w:tplc="B9B038BC">
      <w:start w:val="5"/>
      <w:numFmt w:val="bullet"/>
      <w:lvlText w:val="-"/>
      <w:lvlJc w:val="left"/>
      <w:pPr>
        <w:ind w:left="720" w:hanging="360"/>
      </w:pPr>
      <w:rPr>
        <w:rFonts w:ascii="Calibri" w:eastAsia="Calibri" w:hAnsi="Calibri" w:cs="Times New Roman" w:hint="default"/>
        <w:sz w:val="24"/>
      </w:rPr>
    </w:lvl>
    <w:lvl w:ilvl="1" w:tplc="352C391C">
      <w:numFmt w:val="bullet"/>
      <w:lvlText w:val="–"/>
      <w:lvlJc w:val="left"/>
      <w:pPr>
        <w:ind w:left="1440" w:hanging="360"/>
      </w:pPr>
      <w:rPr>
        <w:rFonts w:ascii="Arial" w:eastAsia="Times New Roman" w:hAnsi="Arial" w:cs="Aria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F18"/>
    <w:rsid w:val="000B1FCE"/>
    <w:rsid w:val="00111003"/>
    <w:rsid w:val="00171378"/>
    <w:rsid w:val="002542D5"/>
    <w:rsid w:val="00286F18"/>
    <w:rsid w:val="003160E8"/>
    <w:rsid w:val="003B33F6"/>
    <w:rsid w:val="00407438"/>
    <w:rsid w:val="0045177B"/>
    <w:rsid w:val="005126AC"/>
    <w:rsid w:val="00675E84"/>
    <w:rsid w:val="007A21E5"/>
    <w:rsid w:val="00823072"/>
    <w:rsid w:val="008F429F"/>
    <w:rsid w:val="00A93757"/>
    <w:rsid w:val="00B44E9D"/>
    <w:rsid w:val="00C44C09"/>
    <w:rsid w:val="00CC79F0"/>
    <w:rsid w:val="00DE0876"/>
    <w:rsid w:val="00E47C1E"/>
    <w:rsid w:val="00EE11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D31BF0D-4881-464D-9785-570A0407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aragraphedeliste">
    <w:name w:val="List Paragraph"/>
    <w:basedOn w:val="Normal"/>
    <w:uiPriority w:val="34"/>
    <w:qFormat/>
    <w:rsid w:val="0045177B"/>
    <w:pPr>
      <w:ind w:left="720"/>
      <w:contextualSpacing/>
    </w:pPr>
    <w:rPr>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DP5888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5888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/sftpecos/Dossiers_parlementaires/5888/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D676FE2-0451-4F33-9BB9-D2D50FC6844B}">
  <ds:schemaRefs>
    <ds:schemaRef ds:uri="http://schemas.openxmlformats.org/officeDocument/2006/bibliography"/>
  </ds:schemaRefs>
</ds:datastoreItem>
</file>

<file path=customXml/itemProps2.xml><?xml version="1.0" encoding="utf-8"?>
<ds:datastoreItem xmlns:ds="http://schemas.openxmlformats.org/officeDocument/2006/customXml" ds:itemID="{5297EFB4-AC54-4382-A399-27DF63785D40}"/>
</file>

<file path=customXml/itemProps3.xml><?xml version="1.0" encoding="utf-8"?>
<ds:datastoreItem xmlns:ds="http://schemas.openxmlformats.org/officeDocument/2006/customXml" ds:itemID="{E576A450-4F1A-46D7-BA87-8952FD0A450D}"/>
</file>

<file path=customXml/itemProps4.xml><?xml version="1.0" encoding="utf-8"?>
<ds:datastoreItem xmlns:ds="http://schemas.openxmlformats.org/officeDocument/2006/customXml" ds:itemID="{CBFE4D57-49B9-43AD-8FFD-FCC8207CC7CC}"/>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3979</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5888</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2011-05-03T13:08:00Z</cp:lastPrinted>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