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19" w:rsidRPr="00AC7184" w:rsidRDefault="00756E19" w:rsidP="00756E19">
      <w:pPr>
        <w:jc w:val="center"/>
        <w:rPr>
          <w:b/>
          <w:sz w:val="28"/>
          <w:szCs w:val="28"/>
          <w:lang w:val="fr-LU"/>
        </w:rPr>
      </w:pPr>
      <w:bookmarkStart w:id="0" w:name="_GoBack"/>
      <w:bookmarkEnd w:id="0"/>
      <w:r>
        <w:rPr>
          <w:b/>
          <w:sz w:val="28"/>
          <w:szCs w:val="28"/>
          <w:lang w:val="fr-LU"/>
        </w:rPr>
        <w:t>N° 5880</w:t>
      </w:r>
    </w:p>
    <w:p w:rsidR="00756E19" w:rsidRPr="00AC7184" w:rsidRDefault="00756E19" w:rsidP="00756E19">
      <w:pPr>
        <w:pBdr>
          <w:bottom w:val="thinThickSmallGap" w:sz="24" w:space="1" w:color="auto"/>
        </w:pBdr>
        <w:jc w:val="center"/>
        <w:rPr>
          <w:b/>
          <w:lang w:val="fr-LU"/>
        </w:rPr>
      </w:pPr>
    </w:p>
    <w:p w:rsidR="00756E19" w:rsidRDefault="00756E19" w:rsidP="00756E19">
      <w:pPr>
        <w:jc w:val="both"/>
        <w:rPr>
          <w:b/>
          <w:lang w:val="fr-LU"/>
        </w:rPr>
      </w:pPr>
    </w:p>
    <w:p w:rsidR="00756E19" w:rsidRPr="00AC7184" w:rsidRDefault="00756E19" w:rsidP="00756E19">
      <w:pPr>
        <w:jc w:val="both"/>
        <w:rPr>
          <w:b/>
          <w:lang w:val="fr-LU"/>
        </w:rPr>
      </w:pPr>
    </w:p>
    <w:p w:rsidR="00756E19" w:rsidRPr="00AC7184" w:rsidRDefault="00756E19" w:rsidP="00756E19">
      <w:pPr>
        <w:jc w:val="center"/>
        <w:rPr>
          <w:b/>
          <w:sz w:val="32"/>
          <w:szCs w:val="32"/>
          <w:lang w:val="fr-LU"/>
        </w:rPr>
      </w:pPr>
      <w:r w:rsidRPr="00AC7184">
        <w:rPr>
          <w:b/>
          <w:sz w:val="32"/>
          <w:szCs w:val="32"/>
          <w:lang w:val="fr-LU"/>
        </w:rPr>
        <w:t>Projet de loi</w:t>
      </w:r>
    </w:p>
    <w:p w:rsidR="00756E19" w:rsidRPr="00756E19" w:rsidRDefault="00756E19" w:rsidP="00756E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6E19">
        <w:rPr>
          <w:b/>
          <w:bCs/>
          <w:sz w:val="28"/>
          <w:szCs w:val="28"/>
        </w:rPr>
        <w:t>relative au financement d’une solution informatique</w:t>
      </w:r>
    </w:p>
    <w:p w:rsidR="00756E19" w:rsidRPr="00756E19" w:rsidRDefault="00756E19" w:rsidP="00756E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6E19">
        <w:rPr>
          <w:b/>
          <w:bCs/>
          <w:sz w:val="28"/>
          <w:szCs w:val="28"/>
        </w:rPr>
        <w:t>permettant la création d’un environnement sans support papier</w:t>
      </w:r>
    </w:p>
    <w:p w:rsidR="00756E19" w:rsidRPr="00756E19" w:rsidRDefault="00756E19" w:rsidP="00756E19">
      <w:pPr>
        <w:jc w:val="center"/>
        <w:rPr>
          <w:b/>
          <w:sz w:val="28"/>
          <w:szCs w:val="28"/>
        </w:rPr>
      </w:pPr>
      <w:r w:rsidRPr="00756E19">
        <w:rPr>
          <w:b/>
          <w:bCs/>
          <w:sz w:val="28"/>
          <w:szCs w:val="28"/>
        </w:rPr>
        <w:t>pour la douane et le commerce</w:t>
      </w:r>
    </w:p>
    <w:p w:rsidR="003D3CB2" w:rsidRPr="000C5C53" w:rsidRDefault="003D3CB2" w:rsidP="00F47932">
      <w:pPr>
        <w:jc w:val="center"/>
        <w:rPr>
          <w:b/>
          <w:sz w:val="28"/>
          <w:szCs w:val="28"/>
        </w:rPr>
      </w:pPr>
    </w:p>
    <w:p w:rsidR="00F47932" w:rsidRPr="00DE02B6" w:rsidRDefault="00DE02B6" w:rsidP="00121DEC">
      <w:pPr>
        <w:jc w:val="both"/>
      </w:pPr>
      <w:r w:rsidRPr="00DE02B6">
        <w:t>Le projet sous avis se propose d’autoriser le Gouvernement à dépe</w:t>
      </w:r>
      <w:r w:rsidR="003D3CB2">
        <w:t>nser pour la période 2006 à 2014</w:t>
      </w:r>
      <w:r>
        <w:t xml:space="preserve"> </w:t>
      </w:r>
      <w:r w:rsidRPr="00DE02B6">
        <w:t xml:space="preserve">un montant maximum de </w:t>
      </w:r>
      <w:r w:rsidR="003D3CB2" w:rsidRPr="006005AE">
        <w:rPr>
          <w:szCs w:val="24"/>
        </w:rPr>
        <w:t xml:space="preserve">29.658.000.- </w:t>
      </w:r>
      <w:r w:rsidRPr="00DE02B6">
        <w:t>euros pour la mise en place d’un systèm</w:t>
      </w:r>
      <w:r>
        <w:t>e</w:t>
      </w:r>
      <w:r w:rsidRPr="00DE02B6">
        <w:t xml:space="preserve"> informatisé permettant</w:t>
      </w:r>
      <w:r>
        <w:t xml:space="preserve"> </w:t>
      </w:r>
      <w:r w:rsidRPr="00DE02B6">
        <w:t>la création d’un environnement sans support papier pour la douane et le commerce appelée</w:t>
      </w:r>
      <w:r>
        <w:t xml:space="preserve"> </w:t>
      </w:r>
      <w:r w:rsidR="00393F3F">
        <w:t>« </w:t>
      </w:r>
      <w:r w:rsidRPr="00DE02B6">
        <w:t>Paperless Douanes et Accises (PLDA)</w:t>
      </w:r>
      <w:r w:rsidR="00393F3F">
        <w:t> »</w:t>
      </w:r>
      <w:r w:rsidRPr="00DE02B6">
        <w:t xml:space="preserve">. </w:t>
      </w:r>
    </w:p>
    <w:p w:rsidR="00F47932" w:rsidRDefault="00F47932" w:rsidP="00121DEC">
      <w:pPr>
        <w:jc w:val="both"/>
      </w:pPr>
    </w:p>
    <w:p w:rsidR="00DE02B6" w:rsidRDefault="00DE02B6" w:rsidP="00121DEC">
      <w:pPr>
        <w:jc w:val="both"/>
      </w:pPr>
      <w:r w:rsidRPr="00DE02B6">
        <w:t>Ce système devra rendre à terme</w:t>
      </w:r>
      <w:r>
        <w:t xml:space="preserve"> </w:t>
      </w:r>
      <w:r w:rsidRPr="00DE02B6">
        <w:t>le système douanier totalement automatisé, interopérable, sûr, accessi</w:t>
      </w:r>
      <w:r>
        <w:t>ble et entièrement électronique. En plus</w:t>
      </w:r>
      <w:r w:rsidR="00734227">
        <w:t>,</w:t>
      </w:r>
      <w:r>
        <w:t xml:space="preserve"> il permettra </w:t>
      </w:r>
      <w:r w:rsidRPr="00DE02B6">
        <w:t>d’améliorer l’efficacité de l’organisation</w:t>
      </w:r>
      <w:r>
        <w:t xml:space="preserve"> </w:t>
      </w:r>
      <w:r w:rsidRPr="00DE02B6">
        <w:t>des contrôles douaniers et un flux continu des données afin d’améliorer l’efficacité des procédures</w:t>
      </w:r>
      <w:r>
        <w:t xml:space="preserve"> </w:t>
      </w:r>
      <w:r w:rsidRPr="00DE02B6">
        <w:t>de dédouanement, de réduire les formalités administratives, de contribuer au combat contre la</w:t>
      </w:r>
      <w:r>
        <w:t xml:space="preserve"> </w:t>
      </w:r>
      <w:r w:rsidRPr="00DE02B6">
        <w:t>fraude, la criminalité organisée et le terrorisme, de protéger les intérêts financiers, la propriété intellectuelle</w:t>
      </w:r>
      <w:r>
        <w:t xml:space="preserve"> </w:t>
      </w:r>
      <w:r w:rsidRPr="00DE02B6">
        <w:t>et le patrimoine culturel, d’accroître la sécurité des marchandises et du commerce international</w:t>
      </w:r>
      <w:r>
        <w:t xml:space="preserve"> </w:t>
      </w:r>
      <w:r w:rsidRPr="00DE02B6">
        <w:t>et de renforcer la protection de la santé et de l’environnement</w:t>
      </w:r>
      <w:r>
        <w:t>.</w:t>
      </w:r>
    </w:p>
    <w:p w:rsidR="00734227" w:rsidRDefault="00734227" w:rsidP="00121DEC">
      <w:pPr>
        <w:jc w:val="both"/>
      </w:pPr>
    </w:p>
    <w:p w:rsidR="00F47932" w:rsidRDefault="00734227" w:rsidP="00121DEC">
      <w:pPr>
        <w:jc w:val="both"/>
      </w:pPr>
      <w:r w:rsidRPr="00734227">
        <w:t>L’implémentation aura lieu conformément au plan stratégique pluriannuel</w:t>
      </w:r>
      <w:r>
        <w:t xml:space="preserve"> </w:t>
      </w:r>
      <w:r w:rsidRPr="00734227">
        <w:t>d’informatisation de la douane (MASP) établi par la Commission Européenne et les Etats</w:t>
      </w:r>
      <w:r>
        <w:t xml:space="preserve"> </w:t>
      </w:r>
      <w:r w:rsidRPr="00734227">
        <w:t>membres</w:t>
      </w:r>
      <w:r w:rsidRPr="00DC6FCB">
        <w:rPr>
          <w:lang w:val="fr-LU"/>
        </w:rPr>
        <w:t>.</w:t>
      </w:r>
    </w:p>
    <w:p w:rsidR="00734227" w:rsidRPr="00DE02B6" w:rsidRDefault="00734227" w:rsidP="00121DEC">
      <w:pPr>
        <w:jc w:val="both"/>
      </w:pPr>
    </w:p>
    <w:p w:rsidR="00F47932" w:rsidRPr="00DE02B6" w:rsidRDefault="00DE02B6" w:rsidP="00121DEC">
      <w:pPr>
        <w:jc w:val="both"/>
      </w:pPr>
      <w:r w:rsidRPr="00DE02B6">
        <w:t>Comme l’engagement financier dépasse le seuil de 7,5 millions d’euros prévu par l’article 80 de la</w:t>
      </w:r>
      <w:r w:rsidR="00393F3F">
        <w:t xml:space="preserve"> </w:t>
      </w:r>
      <w:r w:rsidRPr="00DE02B6">
        <w:t>loi modif</w:t>
      </w:r>
      <w:r w:rsidR="00F934B8">
        <w:t>iée du 8 juin 1999 sur le Budget, la Comptabilité et la T</w:t>
      </w:r>
      <w:r w:rsidRPr="00DE02B6">
        <w:t>résorerie de l’Etat, l’approbation de la</w:t>
      </w:r>
      <w:r w:rsidR="00393F3F">
        <w:t xml:space="preserve"> </w:t>
      </w:r>
      <w:r w:rsidR="00F934B8">
        <w:t>Chambre des D</w:t>
      </w:r>
      <w:r w:rsidRPr="00DE02B6">
        <w:t>éputés est nécessaire en vertu de l’article 99 de la Constitution.</w:t>
      </w:r>
      <w:r w:rsidR="00DC6FCB">
        <w:t xml:space="preserve"> Notons toutefois que le projet de loi No 6011 modifiant l’article 80 (1) c) de la loi mentionnée ci-avant porte le seuil constitutionnel de 7,5 millions d’euros à 40 millions de sorte qu’une loi d’autorisation n’aurait plus été nécessaire pour le présent projet d’investissement. </w:t>
      </w:r>
    </w:p>
    <w:p w:rsidR="00EB66AE" w:rsidRDefault="00EB66AE" w:rsidP="0024234C">
      <w:pPr>
        <w:jc w:val="both"/>
      </w:pPr>
    </w:p>
    <w:p w:rsidR="00EB66AE" w:rsidRPr="00566567" w:rsidRDefault="00EB66AE" w:rsidP="00EB66AE">
      <w:pPr>
        <w:jc w:val="both"/>
      </w:pPr>
      <w:r w:rsidRPr="00566567">
        <w:t>L’article 2</w:t>
      </w:r>
      <w:r>
        <w:t>, dans sa version initiale, précisait</w:t>
      </w:r>
      <w:r w:rsidRPr="00566567">
        <w:t xml:space="preserve"> que </w:t>
      </w:r>
      <w:r>
        <w:t xml:space="preserve">les dépenses occasionnées par </w:t>
      </w:r>
      <w:r w:rsidRPr="00566567">
        <w:t xml:space="preserve">la loi </w:t>
      </w:r>
      <w:r>
        <w:t>représentaient les</w:t>
      </w:r>
      <w:r w:rsidRPr="00566567">
        <w:t xml:space="preserve"> frais d’investissement pour la période de 2006</w:t>
      </w:r>
      <w:r>
        <w:t xml:space="preserve"> à 2010 et limitait</w:t>
      </w:r>
      <w:r w:rsidRPr="00566567">
        <w:t xml:space="preserve"> les coûts jusqu’à un seuil de dépassement d’</w:t>
      </w:r>
      <w:r>
        <w:t xml:space="preserve">un montant de 24.233.000 </w:t>
      </w:r>
      <w:r w:rsidRPr="00566567">
        <w:t>euros.</w:t>
      </w:r>
    </w:p>
    <w:p w:rsidR="00EB66AE" w:rsidRDefault="00EB66AE" w:rsidP="00EB66AE">
      <w:pPr>
        <w:jc w:val="both"/>
      </w:pPr>
    </w:p>
    <w:p w:rsidR="00EB66AE" w:rsidRDefault="00EB66AE" w:rsidP="00EB66AE">
      <w:pPr>
        <w:jc w:val="both"/>
      </w:pPr>
      <w:r w:rsidRPr="008718F7">
        <w:t>La Commi</w:t>
      </w:r>
      <w:r>
        <w:t>ssion des Finances et du Budget, estimant</w:t>
      </w:r>
      <w:r w:rsidRPr="008718F7">
        <w:t xml:space="preserve"> qu’il serait plus approprié de connaître l’investissement</w:t>
      </w:r>
      <w:r>
        <w:t xml:space="preserve"> </w:t>
      </w:r>
      <w:r w:rsidRPr="008718F7">
        <w:t>final jusqu’en 2014</w:t>
      </w:r>
      <w:r>
        <w:t>, a adopté, lors de sa réunion du 17 février 2009, un amendement</w:t>
      </w:r>
      <w:r w:rsidR="007457EB">
        <w:t xml:space="preserve"> visant à </w:t>
      </w:r>
      <w:r w:rsidR="00792685">
        <w:t>modifier</w:t>
      </w:r>
      <w:r>
        <w:t xml:space="preserve"> l’article 2 pour y inclure</w:t>
      </w:r>
      <w:r w:rsidRPr="00DF3268">
        <w:t xml:space="preserve"> les frais d’investissement jusqu’en 2014</w:t>
      </w:r>
      <w:r>
        <w:t xml:space="preserve"> et les limiter au montant de 29</w:t>
      </w:r>
      <w:r w:rsidRPr="00DF3268">
        <w:t>.</w:t>
      </w:r>
      <w:r>
        <w:t xml:space="preserve">658.000 </w:t>
      </w:r>
      <w:r w:rsidRPr="00DF3268">
        <w:t>euros.</w:t>
      </w:r>
    </w:p>
    <w:p w:rsidR="00EB66AE" w:rsidRDefault="00EB66AE" w:rsidP="00EB66AE">
      <w:pPr>
        <w:jc w:val="both"/>
      </w:pPr>
    </w:p>
    <w:p w:rsidR="00EB66AE" w:rsidRPr="006D7234" w:rsidRDefault="00EB66AE" w:rsidP="007457EB">
      <w:pPr>
        <w:autoSpaceDE w:val="0"/>
        <w:autoSpaceDN w:val="0"/>
        <w:adjustRightInd w:val="0"/>
        <w:jc w:val="both"/>
        <w:rPr>
          <w:szCs w:val="24"/>
          <w:lang w:val="fr-LU" w:eastAsia="fr-LU"/>
        </w:rPr>
      </w:pPr>
      <w:r>
        <w:t xml:space="preserve">Dans son avis complémentaire du 31 mars 2009, </w:t>
      </w:r>
      <w:r w:rsidR="007457EB">
        <w:rPr>
          <w:szCs w:val="24"/>
          <w:lang w:val="fr-LU" w:eastAsia="fr-LU"/>
        </w:rPr>
        <w:t>l</w:t>
      </w:r>
      <w:r>
        <w:rPr>
          <w:szCs w:val="24"/>
          <w:lang w:val="fr-LU" w:eastAsia="fr-LU"/>
        </w:rPr>
        <w:t xml:space="preserve">e Conseil d’Etat </w:t>
      </w:r>
      <w:r w:rsidR="007457EB">
        <w:rPr>
          <w:szCs w:val="24"/>
          <w:lang w:val="fr-LU" w:eastAsia="fr-LU"/>
        </w:rPr>
        <w:t xml:space="preserve">a approuvé </w:t>
      </w:r>
      <w:r>
        <w:rPr>
          <w:szCs w:val="24"/>
          <w:lang w:val="fr-LU" w:eastAsia="fr-LU"/>
        </w:rPr>
        <w:t>cet amendement.</w:t>
      </w:r>
    </w:p>
    <w:p w:rsidR="00DF3268" w:rsidRPr="00AD2229" w:rsidRDefault="00DF3268" w:rsidP="00DF3268">
      <w:pPr>
        <w:jc w:val="both"/>
        <w:rPr>
          <w:lang w:val="fr-LU"/>
        </w:rPr>
      </w:pPr>
    </w:p>
    <w:sectPr w:rsidR="00DF3268" w:rsidRPr="00AD2229" w:rsidSect="00CF47F3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A4" w:rsidRDefault="00DE3DA4" w:rsidP="00016DD1">
      <w:r>
        <w:separator/>
      </w:r>
    </w:p>
  </w:endnote>
  <w:endnote w:type="continuationSeparator" w:id="0">
    <w:p w:rsidR="00DE3DA4" w:rsidRDefault="00DE3DA4" w:rsidP="0001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A4" w:rsidRDefault="00DE3DA4" w:rsidP="00016DD1">
      <w:r>
        <w:separator/>
      </w:r>
    </w:p>
  </w:footnote>
  <w:footnote w:type="continuationSeparator" w:id="0">
    <w:p w:rsidR="00DE3DA4" w:rsidRDefault="00DE3DA4" w:rsidP="0001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73483"/>
    <w:multiLevelType w:val="hybridMultilevel"/>
    <w:tmpl w:val="4B52F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E19"/>
    <w:rsid w:val="00016DD1"/>
    <w:rsid w:val="00031D93"/>
    <w:rsid w:val="00063EA7"/>
    <w:rsid w:val="000C5C53"/>
    <w:rsid w:val="00102224"/>
    <w:rsid w:val="001067F9"/>
    <w:rsid w:val="0011665A"/>
    <w:rsid w:val="00121DEC"/>
    <w:rsid w:val="001543F2"/>
    <w:rsid w:val="00213296"/>
    <w:rsid w:val="00222E57"/>
    <w:rsid w:val="00231ED9"/>
    <w:rsid w:val="0024234C"/>
    <w:rsid w:val="0025158B"/>
    <w:rsid w:val="002A26E2"/>
    <w:rsid w:val="0034229D"/>
    <w:rsid w:val="00393F3F"/>
    <w:rsid w:val="0039701F"/>
    <w:rsid w:val="003D3CB2"/>
    <w:rsid w:val="003F5A55"/>
    <w:rsid w:val="00402BF7"/>
    <w:rsid w:val="00425309"/>
    <w:rsid w:val="00474A9B"/>
    <w:rsid w:val="005112C6"/>
    <w:rsid w:val="00566567"/>
    <w:rsid w:val="0059735E"/>
    <w:rsid w:val="005A6AE5"/>
    <w:rsid w:val="005C2949"/>
    <w:rsid w:val="005E2798"/>
    <w:rsid w:val="006005AE"/>
    <w:rsid w:val="006232DE"/>
    <w:rsid w:val="00626847"/>
    <w:rsid w:val="006301B1"/>
    <w:rsid w:val="006D7234"/>
    <w:rsid w:val="006E07F0"/>
    <w:rsid w:val="00734227"/>
    <w:rsid w:val="007457EB"/>
    <w:rsid w:val="00756E19"/>
    <w:rsid w:val="00792685"/>
    <w:rsid w:val="00846528"/>
    <w:rsid w:val="008718F7"/>
    <w:rsid w:val="00873C6A"/>
    <w:rsid w:val="008E6338"/>
    <w:rsid w:val="00965FDC"/>
    <w:rsid w:val="00A0172A"/>
    <w:rsid w:val="00A77FC0"/>
    <w:rsid w:val="00AC45D4"/>
    <w:rsid w:val="00B13987"/>
    <w:rsid w:val="00C01CD5"/>
    <w:rsid w:val="00C204A1"/>
    <w:rsid w:val="00C43EC6"/>
    <w:rsid w:val="00C6204F"/>
    <w:rsid w:val="00CC599D"/>
    <w:rsid w:val="00CF2894"/>
    <w:rsid w:val="00CF47F3"/>
    <w:rsid w:val="00D0437B"/>
    <w:rsid w:val="00DA13AB"/>
    <w:rsid w:val="00DC6FCB"/>
    <w:rsid w:val="00DE02B6"/>
    <w:rsid w:val="00DE3DA4"/>
    <w:rsid w:val="00DF3268"/>
    <w:rsid w:val="00E04E68"/>
    <w:rsid w:val="00E42DF5"/>
    <w:rsid w:val="00E506B6"/>
    <w:rsid w:val="00EB66AE"/>
    <w:rsid w:val="00ED3403"/>
    <w:rsid w:val="00F142D8"/>
    <w:rsid w:val="00F47932"/>
    <w:rsid w:val="00F6027B"/>
    <w:rsid w:val="00F84BCF"/>
    <w:rsid w:val="00F934B8"/>
    <w:rsid w:val="00F9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8FE2B7-F1E0-46C1-B5EC-AC4B89D4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19"/>
    <w:rPr>
      <w:sz w:val="24"/>
      <w:lang w:val="fr-CH" w:eastAsia="en-US"/>
    </w:rPr>
  </w:style>
  <w:style w:type="paragraph" w:styleId="Titre1">
    <w:name w:val="heading 1"/>
    <w:basedOn w:val="Normal"/>
    <w:next w:val="Normal"/>
    <w:qFormat/>
    <w:rsid w:val="00F84B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Formatvorlage1">
    <w:name w:val="Formatvorlage1"/>
    <w:basedOn w:val="Titre1"/>
    <w:rsid w:val="00F84BCF"/>
    <w:rPr>
      <w:lang w:val="de-CH"/>
    </w:rPr>
  </w:style>
  <w:style w:type="paragraph" w:customStyle="1" w:styleId="Formatech">
    <w:name w:val="Format ech"/>
    <w:basedOn w:val="Normal"/>
    <w:rsid w:val="00B13987"/>
    <w:rPr>
      <w:lang w:val="fr-LU" w:eastAsia="fr-FR"/>
    </w:rPr>
  </w:style>
  <w:style w:type="paragraph" w:styleId="Liste">
    <w:name w:val="List"/>
    <w:basedOn w:val="Normal"/>
    <w:rsid w:val="008718F7"/>
    <w:pPr>
      <w:ind w:left="283" w:hanging="283"/>
    </w:pPr>
  </w:style>
  <w:style w:type="paragraph" w:styleId="Date">
    <w:name w:val="Date"/>
    <w:basedOn w:val="Normal"/>
    <w:next w:val="Normal"/>
    <w:rsid w:val="008718F7"/>
  </w:style>
  <w:style w:type="paragraph" w:styleId="Corpsdetexte">
    <w:name w:val="Body Text"/>
    <w:basedOn w:val="Normal"/>
    <w:rsid w:val="008718F7"/>
    <w:pPr>
      <w:spacing w:after="120"/>
    </w:pPr>
  </w:style>
  <w:style w:type="table" w:styleId="Grilledutableau">
    <w:name w:val="Table Grid"/>
    <w:basedOn w:val="TableauNormal"/>
    <w:rsid w:val="00031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16D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16DD1"/>
    <w:rPr>
      <w:sz w:val="24"/>
      <w:lang w:val="fr-CH" w:eastAsia="en-US"/>
    </w:rPr>
  </w:style>
  <w:style w:type="paragraph" w:styleId="Pieddepage">
    <w:name w:val="footer"/>
    <w:basedOn w:val="Normal"/>
    <w:link w:val="PieddepageCar"/>
    <w:uiPriority w:val="99"/>
    <w:rsid w:val="00016D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DD1"/>
    <w:rPr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DP5880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5880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/sftpecos/Dossiers_parlementaires/5880/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91B0614-1117-4AAC-9434-6E0759C4C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43F94-3D30-40CC-BAFF-92E29EC8FB8C}"/>
</file>

<file path=customXml/itemProps3.xml><?xml version="1.0" encoding="utf-8"?>
<ds:datastoreItem xmlns:ds="http://schemas.openxmlformats.org/officeDocument/2006/customXml" ds:itemID="{38EA676D-E3A6-45D8-8C0E-5FA461D4EB13}"/>
</file>

<file path=customXml/itemProps4.xml><?xml version="1.0" encoding="utf-8"?>
<ds:datastoreItem xmlns:ds="http://schemas.openxmlformats.org/officeDocument/2006/customXml" ds:itemID="{51817419-98B0-4DE5-9631-33F2FA439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2183</Characters>
  <Application>Microsoft Office Word</Application>
  <DocSecurity>4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N° 5880</vt:lpstr>
      <vt:lpstr>N° 5880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