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49" w:rsidRDefault="00736849" w:rsidP="00736849">
      <w:pPr>
        <w:jc w:val="center"/>
        <w:rPr>
          <w:b/>
          <w:bCs/>
        </w:rPr>
      </w:pPr>
      <w:bookmarkStart w:id="0" w:name="_GoBack"/>
      <w:bookmarkEnd w:id="0"/>
    </w:p>
    <w:p w:rsidR="00736849" w:rsidRPr="00F50ACE" w:rsidRDefault="00736849" w:rsidP="00736849">
      <w:pPr>
        <w:jc w:val="center"/>
        <w:rPr>
          <w:b/>
          <w:bCs/>
          <w:u w:val="single"/>
        </w:rPr>
      </w:pPr>
      <w:r w:rsidRPr="00F50ACE">
        <w:rPr>
          <w:b/>
          <w:bCs/>
          <w:u w:val="single"/>
        </w:rPr>
        <w:t>Objet du projet de loi</w:t>
      </w:r>
    </w:p>
    <w:p w:rsidR="00736849" w:rsidRDefault="00736849" w:rsidP="00736849"/>
    <w:p w:rsidR="00736849" w:rsidRDefault="00736849" w:rsidP="00736849">
      <w:pPr>
        <w:jc w:val="both"/>
      </w:pPr>
      <w:r w:rsidRPr="004B649C">
        <w:t>Le présent projet de loi a pour objet d’approuver la décision du Conseil de l’Union européenne</w:t>
      </w:r>
      <w:r>
        <w:t xml:space="preserve"> </w:t>
      </w:r>
      <w:r w:rsidRPr="004B649C">
        <w:t>relative au système des ressources propres des Communautés européennes pour la période 2007-2013</w:t>
      </w:r>
      <w:r>
        <w:t xml:space="preserve"> </w:t>
      </w:r>
      <w:r w:rsidRPr="004B649C">
        <w:t xml:space="preserve">et de remplacer, une fois la décision 2007/436/CE en vigueur, la loi du 31 janvier 2002 </w:t>
      </w:r>
      <w:r>
        <w:t xml:space="preserve">relative </w:t>
      </w:r>
      <w:r w:rsidRPr="00095807">
        <w:t>au système des ressources propres des Co</w:t>
      </w:r>
      <w:r>
        <w:t>mmunautés européennes</w:t>
      </w:r>
      <w:r w:rsidRPr="00095807">
        <w:t xml:space="preserve"> pour la période 2000-2006</w:t>
      </w:r>
      <w:r>
        <w:t>.</w:t>
      </w:r>
    </w:p>
    <w:p w:rsidR="00736849" w:rsidRPr="00095807" w:rsidRDefault="00736849" w:rsidP="00736849">
      <w:pPr>
        <w:jc w:val="both"/>
      </w:pPr>
    </w:p>
    <w:p w:rsidR="00736849" w:rsidRDefault="00736849" w:rsidP="00736849">
      <w:pPr>
        <w:jc w:val="center"/>
        <w:rPr>
          <w:b/>
          <w:bCs/>
          <w:szCs w:val="24"/>
        </w:rPr>
      </w:pPr>
    </w:p>
    <w:p w:rsidR="00736849" w:rsidRDefault="00736849" w:rsidP="00736849">
      <w:pPr>
        <w:jc w:val="both"/>
      </w:pPr>
    </w:p>
    <w:p w:rsidR="00736849" w:rsidRPr="00F3321C" w:rsidRDefault="00F50ACE" w:rsidP="00736849">
      <w:pPr>
        <w:jc w:val="center"/>
        <w:rPr>
          <w:b/>
          <w:bCs/>
        </w:rPr>
      </w:pPr>
      <w:r>
        <w:rPr>
          <w:b/>
          <w:bCs/>
        </w:rPr>
        <w:t>1</w:t>
      </w:r>
      <w:r w:rsidR="00736849">
        <w:rPr>
          <w:b/>
          <w:bCs/>
        </w:rPr>
        <w:t xml:space="preserve">. </w:t>
      </w:r>
      <w:r w:rsidR="00736849" w:rsidRPr="00F3321C">
        <w:rPr>
          <w:b/>
          <w:bCs/>
        </w:rPr>
        <w:t>Décision 2007/436/CE relative au système des ressources propres des Communautés européennes pour la période 2007-2013</w:t>
      </w:r>
    </w:p>
    <w:p w:rsidR="00736849" w:rsidRDefault="00736849" w:rsidP="00736849">
      <w:pPr>
        <w:jc w:val="both"/>
      </w:pPr>
    </w:p>
    <w:p w:rsidR="00736849" w:rsidRDefault="00736849" w:rsidP="00684913">
      <w:pPr>
        <w:autoSpaceDE w:val="0"/>
        <w:autoSpaceDN w:val="0"/>
        <w:adjustRightInd w:val="0"/>
        <w:jc w:val="both"/>
      </w:pPr>
      <w:r w:rsidRPr="00167C1B">
        <w:t>La décision relative au système de ressources propres établit le système de financement du budget communautaire et représente la traduction juridique du volet « recettes ».</w:t>
      </w:r>
      <w:r>
        <w:t xml:space="preserve"> </w:t>
      </w:r>
    </w:p>
    <w:p w:rsidR="00736849" w:rsidRDefault="00736849" w:rsidP="00736849">
      <w:pPr>
        <w:jc w:val="both"/>
      </w:pPr>
    </w:p>
    <w:p w:rsidR="00736849" w:rsidRDefault="00F50ACE" w:rsidP="00736849">
      <w:pPr>
        <w:jc w:val="both"/>
      </w:pPr>
      <w:r>
        <w:t>La décision précité</w:t>
      </w:r>
      <w:r w:rsidR="00684913">
        <w:t>e</w:t>
      </w:r>
      <w:r w:rsidR="00736849">
        <w:t xml:space="preserve"> confirme en outre un certain nombre de principes qui figuraient dans la décisio</w:t>
      </w:r>
      <w:r w:rsidR="00736849" w:rsidRPr="004B649C">
        <w:t>n « ressources propres »</w:t>
      </w:r>
      <w:r w:rsidR="00736849">
        <w:t xml:space="preserve"> de 2000:</w:t>
      </w:r>
    </w:p>
    <w:p w:rsidR="00736849" w:rsidRDefault="00736849" w:rsidP="00736849">
      <w:pPr>
        <w:jc w:val="both"/>
      </w:pPr>
    </w:p>
    <w:p w:rsidR="00736849" w:rsidRDefault="00736849" w:rsidP="00736849">
      <w:pPr>
        <w:numPr>
          <w:ilvl w:val="0"/>
          <w:numId w:val="2"/>
        </w:numPr>
        <w:jc w:val="both"/>
      </w:pPr>
      <w:r w:rsidRPr="00BE5C6F">
        <w:t>le budget général de l’Union européenne est, sans préjudice des autres recettes, intégralement financé par les ressources propres des Communautés</w:t>
      </w:r>
      <w:r>
        <w:t>;</w:t>
      </w:r>
    </w:p>
    <w:p w:rsidR="00736849" w:rsidRPr="007A312A" w:rsidRDefault="00736849" w:rsidP="00736849">
      <w:pPr>
        <w:ind w:left="360"/>
        <w:jc w:val="both"/>
        <w:rPr>
          <w:sz w:val="16"/>
          <w:szCs w:val="16"/>
        </w:rPr>
      </w:pPr>
    </w:p>
    <w:p w:rsidR="00736849" w:rsidRDefault="00736849" w:rsidP="00736849">
      <w:pPr>
        <w:numPr>
          <w:ilvl w:val="0"/>
          <w:numId w:val="2"/>
        </w:numPr>
        <w:jc w:val="both"/>
      </w:pPr>
      <w:r w:rsidRPr="00BE5C6F">
        <w:t>les trois types de ressources propre</w:t>
      </w:r>
      <w:r>
        <w:t>s restent les ressources</w:t>
      </w:r>
      <w:r w:rsidRPr="00BE5C6F">
        <w:t xml:space="preserve"> dites „traditionnelles“ (prélèvements agricoles, cotisations s</w:t>
      </w:r>
      <w:r>
        <w:t>ur le sucre et droits de douane</w:t>
      </w:r>
      <w:r w:rsidRPr="00BE5C6F">
        <w:t>), la ressource „Taxe sur la Valeur Ajoutée“ (TVA) et la ressourc</w:t>
      </w:r>
      <w:r>
        <w:t xml:space="preserve">e „Revenu National Brut“ (RNB); </w:t>
      </w:r>
    </w:p>
    <w:p w:rsidR="00736849" w:rsidRPr="007A312A" w:rsidRDefault="00736849" w:rsidP="00736849">
      <w:pPr>
        <w:jc w:val="both"/>
        <w:rPr>
          <w:sz w:val="16"/>
          <w:szCs w:val="16"/>
        </w:rPr>
      </w:pPr>
    </w:p>
    <w:p w:rsidR="00736849" w:rsidRDefault="00736849" w:rsidP="00736849">
      <w:pPr>
        <w:numPr>
          <w:ilvl w:val="0"/>
          <w:numId w:val="2"/>
        </w:numPr>
        <w:jc w:val="both"/>
      </w:pPr>
      <w:r w:rsidRPr="00BE5C6F">
        <w:t>les recettes provenant de toutes nouvelles taxes qui seraient instituées dans le cadre d’une politique commune constituent des ressources propres inscrites au budget général</w:t>
      </w:r>
      <w:r>
        <w:t>;</w:t>
      </w:r>
      <w:r w:rsidRPr="00BE5C6F">
        <w:t xml:space="preserve"> </w:t>
      </w:r>
    </w:p>
    <w:p w:rsidR="00736849" w:rsidRPr="007A312A" w:rsidRDefault="00736849" w:rsidP="00736849">
      <w:pPr>
        <w:jc w:val="both"/>
        <w:rPr>
          <w:sz w:val="16"/>
          <w:szCs w:val="16"/>
        </w:rPr>
      </w:pPr>
    </w:p>
    <w:p w:rsidR="00736849" w:rsidRDefault="00736849" w:rsidP="00736849">
      <w:pPr>
        <w:numPr>
          <w:ilvl w:val="0"/>
          <w:numId w:val="2"/>
        </w:numPr>
        <w:jc w:val="both"/>
      </w:pPr>
      <w:r w:rsidRPr="00BE5C6F">
        <w:t>le montant retenu par les Etats membres au titre des frais de perception demeure fixé à hauteur de 25% des res</w:t>
      </w:r>
      <w:r>
        <w:t>sources propres traditionnelles;</w:t>
      </w:r>
    </w:p>
    <w:p w:rsidR="00736849" w:rsidRPr="007A312A" w:rsidRDefault="00736849" w:rsidP="00736849">
      <w:pPr>
        <w:jc w:val="both"/>
        <w:rPr>
          <w:sz w:val="16"/>
          <w:szCs w:val="16"/>
        </w:rPr>
      </w:pPr>
    </w:p>
    <w:p w:rsidR="00736849" w:rsidRPr="00C76E8A" w:rsidRDefault="00736849" w:rsidP="00C76E8A">
      <w:pPr>
        <w:numPr>
          <w:ilvl w:val="0"/>
          <w:numId w:val="2"/>
        </w:numPr>
        <w:jc w:val="both"/>
        <w:rPr>
          <w:bCs/>
        </w:rPr>
      </w:pPr>
      <w:r w:rsidRPr="00C76E8A">
        <w:rPr>
          <w:bCs/>
        </w:rPr>
        <w:t>le plafond des ressources propres reste fixé à 1,24% du montant total du RNB des Etats membres en ce qui concerne les crédits de paiements</w:t>
      </w:r>
      <w:r w:rsidR="004A477E">
        <w:rPr>
          <w:bCs/>
        </w:rPr>
        <w:t>.</w:t>
      </w:r>
      <w:r w:rsidRPr="00C76E8A">
        <w:rPr>
          <w:bCs/>
        </w:rPr>
        <w:t xml:space="preserve"> </w:t>
      </w:r>
    </w:p>
    <w:p w:rsidR="00C76E8A" w:rsidRDefault="00C76E8A" w:rsidP="00C76E8A">
      <w:pPr>
        <w:jc w:val="both"/>
      </w:pPr>
    </w:p>
    <w:p w:rsidR="00736849" w:rsidRDefault="00736849" w:rsidP="00736849">
      <w:pPr>
        <w:jc w:val="both"/>
      </w:pPr>
      <w:r>
        <w:t>L</w:t>
      </w:r>
      <w:r w:rsidRPr="00BE5C6F">
        <w:t xml:space="preserve">a décision consacre, comme par le </w:t>
      </w:r>
      <w:r>
        <w:t>passé</w:t>
      </w:r>
      <w:r w:rsidRPr="00BE5C6F">
        <w:t xml:space="preserve">, les principes de non-affectation </w:t>
      </w:r>
      <w:r>
        <w:t xml:space="preserve">des recettes </w:t>
      </w:r>
      <w:r w:rsidRPr="00BE5C6F">
        <w:t>et de report des excédents éventuels de recettes d’une année</w:t>
      </w:r>
      <w:r>
        <w:t xml:space="preserve"> à l’autre. </w:t>
      </w:r>
      <w:r w:rsidRPr="00BE5C6F">
        <w:t>Elle fixe également un certain nombre de principes en matière de perception et de recouvrement des recettes</w:t>
      </w:r>
      <w:r>
        <w:t>.</w:t>
      </w:r>
      <w:r w:rsidRPr="00BE5C6F">
        <w:t xml:space="preserve"> </w:t>
      </w:r>
    </w:p>
    <w:p w:rsidR="00736849" w:rsidRDefault="00736849" w:rsidP="00736849">
      <w:pPr>
        <w:jc w:val="both"/>
      </w:pPr>
    </w:p>
    <w:p w:rsidR="00736849" w:rsidRPr="00E82E79" w:rsidRDefault="00736849" w:rsidP="00736849">
      <w:pPr>
        <w:jc w:val="both"/>
      </w:pPr>
      <w:r w:rsidRPr="00E82E79">
        <w:t>Enfin</w:t>
      </w:r>
      <w:r>
        <w:t>,</w:t>
      </w:r>
      <w:r w:rsidRPr="00E82E79">
        <w:t xml:space="preserve"> </w:t>
      </w:r>
      <w:r>
        <w:t xml:space="preserve">la décision </w:t>
      </w:r>
      <w:r w:rsidRPr="00E82E79">
        <w:t xml:space="preserve">reprend également les dispositions contenues dans les conclusions de la Présidence du Conseil européen de décembre 2005 relatives au réexamen du cadre financier 2007-2013: </w:t>
      </w:r>
      <w:r>
        <w:t xml:space="preserve">par conséquent, </w:t>
      </w:r>
      <w:r w:rsidRPr="00E82E79">
        <w:t xml:space="preserve">la Commission entreprend un réexamen général du système des ressources propres, couvrant tous les aspects des dépenses de l’Union européenne, y compris la politique agricole commune, ainsi que la compensation en faveur du Royaume-Uni, </w:t>
      </w:r>
      <w:r>
        <w:t xml:space="preserve">réexamen </w:t>
      </w:r>
      <w:r w:rsidRPr="00E82E79">
        <w:t>sur lequel elle devra faire rapport en 2008-2009,.</w:t>
      </w:r>
    </w:p>
    <w:p w:rsidR="00736849" w:rsidRPr="00E82E79" w:rsidRDefault="00736849" w:rsidP="00736849">
      <w:pPr>
        <w:jc w:val="both"/>
      </w:pPr>
    </w:p>
    <w:p w:rsidR="00736849" w:rsidRPr="0096237B" w:rsidRDefault="00F50ACE" w:rsidP="00736849">
      <w:pPr>
        <w:jc w:val="center"/>
        <w:rPr>
          <w:b/>
          <w:bCs/>
        </w:rPr>
      </w:pPr>
      <w:r>
        <w:rPr>
          <w:b/>
          <w:bCs/>
        </w:rPr>
        <w:t>2.</w:t>
      </w:r>
      <w:r w:rsidR="00736849">
        <w:rPr>
          <w:b/>
          <w:bCs/>
        </w:rPr>
        <w:t xml:space="preserve"> Principales modifications introduites par</w:t>
      </w:r>
      <w:r w:rsidR="00736849" w:rsidRPr="0096237B">
        <w:rPr>
          <w:b/>
          <w:bCs/>
        </w:rPr>
        <w:t xml:space="preserve"> l</w:t>
      </w:r>
      <w:r w:rsidR="00736849">
        <w:rPr>
          <w:b/>
          <w:bCs/>
        </w:rPr>
        <w:t xml:space="preserve">a décision </w:t>
      </w:r>
      <w:r w:rsidR="00736849" w:rsidRPr="00F3321C">
        <w:rPr>
          <w:b/>
          <w:bCs/>
        </w:rPr>
        <w:t xml:space="preserve">2007/436/CE </w:t>
      </w:r>
      <w:r w:rsidR="00736849">
        <w:rPr>
          <w:b/>
          <w:bCs/>
        </w:rPr>
        <w:t xml:space="preserve">         «ressources propres</w:t>
      </w:r>
      <w:r w:rsidR="00736849" w:rsidRPr="0096237B">
        <w:rPr>
          <w:b/>
          <w:bCs/>
        </w:rPr>
        <w:t>» du 7 juin 2007</w:t>
      </w:r>
    </w:p>
    <w:p w:rsidR="00736849" w:rsidRDefault="00736849" w:rsidP="00736849">
      <w:pPr>
        <w:jc w:val="both"/>
      </w:pPr>
    </w:p>
    <w:p w:rsidR="00736849" w:rsidRDefault="00736849" w:rsidP="00736849">
      <w:pPr>
        <w:jc w:val="both"/>
      </w:pPr>
      <w:r w:rsidRPr="00F96CDC">
        <w:t>Par l’</w:t>
      </w:r>
      <w:r>
        <w:t xml:space="preserve">adoption du projet de loi sous rubrique, </w:t>
      </w:r>
      <w:r w:rsidRPr="00F96CDC">
        <w:t>la Chambre des Députés est amenée à autoriser les modifications</w:t>
      </w:r>
      <w:r>
        <w:t xml:space="preserve"> </w:t>
      </w:r>
      <w:r w:rsidRPr="00F96CDC">
        <w:t>de la structure du système de financement de l’UE conformément aux conclusions du Conseil européen</w:t>
      </w:r>
      <w:r>
        <w:t xml:space="preserve"> </w:t>
      </w:r>
      <w:r w:rsidRPr="00F96CDC">
        <w:t>de Bruxelles des 15 et 16 décembre 2005</w:t>
      </w:r>
      <w:r>
        <w:t>.</w:t>
      </w:r>
    </w:p>
    <w:p w:rsidR="00736849" w:rsidRDefault="00736849" w:rsidP="00736849">
      <w:pPr>
        <w:jc w:val="both"/>
      </w:pPr>
    </w:p>
    <w:p w:rsidR="00736849" w:rsidRDefault="00736849" w:rsidP="00736849">
      <w:pPr>
        <w:jc w:val="both"/>
      </w:pPr>
      <w:r>
        <w:t>Les principales modifications introduites par le la décision « ressources propres » du 7 juin 2007 sont les suivantes :</w:t>
      </w:r>
    </w:p>
    <w:p w:rsidR="00736849" w:rsidRDefault="00736849" w:rsidP="00736849">
      <w:pPr>
        <w:jc w:val="both"/>
      </w:pPr>
    </w:p>
    <w:p w:rsidR="00736849" w:rsidRPr="00AF15E2" w:rsidRDefault="00736849" w:rsidP="00736849">
      <w:pPr>
        <w:numPr>
          <w:ilvl w:val="0"/>
          <w:numId w:val="4"/>
        </w:numPr>
        <w:jc w:val="both"/>
      </w:pPr>
      <w:r>
        <w:t xml:space="preserve">La stabilisation pour l’ensemble des Etats membres du taux d’appel sur l’assiette TVA </w:t>
      </w:r>
      <w:r w:rsidRPr="00AF15E2">
        <w:t>à 0,30%</w:t>
      </w:r>
      <w:r>
        <w:t xml:space="preserve">. Ce taux </w:t>
      </w:r>
      <w:r w:rsidRPr="00AF15E2">
        <w:t>correspond à la différence entre l’actuel taux d’appel maximal</w:t>
      </w:r>
      <w:r>
        <w:t xml:space="preserve"> (</w:t>
      </w:r>
      <w:r w:rsidRPr="00AF15E2">
        <w:t>0,50%</w:t>
      </w:r>
      <w:r>
        <w:t>)</w:t>
      </w:r>
      <w:r w:rsidRPr="00AF15E2">
        <w:t xml:space="preserve"> et une valeur moyenne du taux </w:t>
      </w:r>
      <w:r>
        <w:t>gelé appliquée dans le passé (</w:t>
      </w:r>
      <w:r w:rsidRPr="00AF15E2">
        <w:t>0,20%</w:t>
      </w:r>
      <w:r>
        <w:t>)</w:t>
      </w:r>
      <w:r w:rsidRPr="00AF15E2">
        <w:t xml:space="preserve">. </w:t>
      </w:r>
      <w:r>
        <w:t>Q</w:t>
      </w:r>
      <w:r w:rsidRPr="00AF15E2">
        <w:t xml:space="preserve">uatre Etats </w:t>
      </w:r>
      <w:r>
        <w:t xml:space="preserve">membres </w:t>
      </w:r>
      <w:r w:rsidRPr="00AF15E2">
        <w:t>bénéficient d’un régime dérogatoire</w:t>
      </w:r>
      <w:r>
        <w:t xml:space="preserve"> pour la période 2007-2013 :</w:t>
      </w:r>
      <w:r w:rsidRPr="00AF15E2">
        <w:t xml:space="preserve"> l’Autriche (0,225%), l’Allemagne (0,15%), les</w:t>
      </w:r>
      <w:r>
        <w:t xml:space="preserve"> </w:t>
      </w:r>
      <w:r w:rsidRPr="00AF15E2">
        <w:t>Pays-Bas et la Suède (0,10%)</w:t>
      </w:r>
      <w:r>
        <w:t>.</w:t>
      </w:r>
    </w:p>
    <w:p w:rsidR="00736849" w:rsidRPr="00AF15E2" w:rsidRDefault="00736849" w:rsidP="00736849">
      <w:pPr>
        <w:tabs>
          <w:tab w:val="num" w:pos="374"/>
        </w:tabs>
        <w:ind w:left="374"/>
      </w:pPr>
    </w:p>
    <w:p w:rsidR="00736849" w:rsidRPr="00E82E79" w:rsidRDefault="00736849" w:rsidP="00736849">
      <w:pPr>
        <w:numPr>
          <w:ilvl w:val="0"/>
          <w:numId w:val="4"/>
        </w:numPr>
        <w:jc w:val="both"/>
      </w:pPr>
      <w:r w:rsidRPr="00E82E79">
        <w:t xml:space="preserve">L’amorce d’une réforme du système des ressources propres de la Communauté européenne, à travers la </w:t>
      </w:r>
      <w:r>
        <w:t>réduction progressive</w:t>
      </w:r>
      <w:r w:rsidRPr="00E82E79">
        <w:t xml:space="preserve"> </w:t>
      </w:r>
      <w:r>
        <w:t>du traitement de faveur accordé</w:t>
      </w:r>
      <w:r w:rsidRPr="00E82E79">
        <w:t xml:space="preserve"> au Royaume-Uni. </w:t>
      </w:r>
      <w:r>
        <w:t>Décidée</w:t>
      </w:r>
      <w:r w:rsidRPr="00E82E79">
        <w:t xml:space="preserve"> par le Conseil européen de Fontainebleau de juin 1984, cette </w:t>
      </w:r>
      <w:r>
        <w:t>réduction</w:t>
      </w:r>
      <w:r w:rsidRPr="00E82E79">
        <w:t xml:space="preserve"> est pour la première fois profondément et durablement modifiée. En effet, le calcul de cette correction</w:t>
      </w:r>
      <w:r>
        <w:t xml:space="preserve"> vers le bas de la contribution britannique</w:t>
      </w:r>
      <w:r w:rsidRPr="00E82E79">
        <w:t xml:space="preserve"> sera ajusté par l’exclusion progressive</w:t>
      </w:r>
      <w:r>
        <w:t xml:space="preserve"> </w:t>
      </w:r>
      <w:r w:rsidRPr="00E82E79">
        <w:t>des dépenses d’</w:t>
      </w:r>
      <w:r>
        <w:t>élargissement et celle de certaines</w:t>
      </w:r>
      <w:r w:rsidRPr="00E82E79">
        <w:t xml:space="preserve"> dépenses agricoles</w:t>
      </w:r>
      <w:r>
        <w:t>.</w:t>
      </w:r>
    </w:p>
    <w:p w:rsidR="00736849" w:rsidRPr="00E82E79" w:rsidRDefault="00736849" w:rsidP="00736849">
      <w:pPr>
        <w:tabs>
          <w:tab w:val="num" w:pos="374"/>
        </w:tabs>
        <w:ind w:left="374"/>
      </w:pPr>
    </w:p>
    <w:p w:rsidR="00736849" w:rsidRPr="00E82E79" w:rsidRDefault="00736849" w:rsidP="00736849">
      <w:pPr>
        <w:tabs>
          <w:tab w:val="num" w:pos="374"/>
        </w:tabs>
        <w:ind w:left="720"/>
        <w:jc w:val="both"/>
      </w:pPr>
      <w:r w:rsidRPr="00E82E79">
        <w:t>La contribution supplémentaire du Royaume-Uni induite par cet ajustement ne devra pas dépasser 10,5 milliards d’euros au cours de la période 2007-2013. La participation britannique normale au financement de l’élargisseme</w:t>
      </w:r>
      <w:r>
        <w:t xml:space="preserve">nt est un acquis à partir de </w:t>
      </w:r>
      <w:r w:rsidRPr="00E82E79">
        <w:t xml:space="preserve">2013. </w:t>
      </w:r>
    </w:p>
    <w:p w:rsidR="00736849" w:rsidRPr="00E82E79" w:rsidRDefault="00736849" w:rsidP="00736849">
      <w:pPr>
        <w:tabs>
          <w:tab w:val="num" w:pos="374"/>
        </w:tabs>
        <w:ind w:left="374"/>
        <w:jc w:val="both"/>
      </w:pPr>
    </w:p>
    <w:p w:rsidR="00736849" w:rsidRPr="00C76E8A" w:rsidRDefault="00736849" w:rsidP="00C76E8A">
      <w:pPr>
        <w:tabs>
          <w:tab w:val="num" w:pos="374"/>
        </w:tabs>
        <w:ind w:left="720"/>
        <w:jc w:val="both"/>
        <w:rPr>
          <w:bCs/>
        </w:rPr>
      </w:pPr>
      <w:r w:rsidRPr="00C76E8A">
        <w:rPr>
          <w:bCs/>
        </w:rPr>
        <w:t xml:space="preserve">Les modalités de financement de la réduction britannique restent cependant inchangées: </w:t>
      </w:r>
      <w:r w:rsidR="00C76E8A" w:rsidRPr="00C76E8A">
        <w:rPr>
          <w:bCs/>
        </w:rPr>
        <w:t xml:space="preserve">A part </w:t>
      </w:r>
      <w:r w:rsidRPr="00C76E8A">
        <w:rPr>
          <w:bCs/>
        </w:rPr>
        <w:t>l’Allemagne, l’Autriche, les Pays-Bas et la Suède</w:t>
      </w:r>
      <w:r w:rsidR="004A477E">
        <w:rPr>
          <w:bCs/>
        </w:rPr>
        <w:t>,</w:t>
      </w:r>
      <w:r w:rsidRPr="00C76E8A">
        <w:rPr>
          <w:bCs/>
        </w:rPr>
        <w:t xml:space="preserve"> les autres Etats membres prennent à leur charge, au prorata de leur RNB, le financement du reste de la correction britannique.</w:t>
      </w:r>
    </w:p>
    <w:p w:rsidR="00736849" w:rsidRPr="007A312A" w:rsidRDefault="00736849" w:rsidP="00736849">
      <w:pPr>
        <w:tabs>
          <w:tab w:val="num" w:pos="374"/>
        </w:tabs>
        <w:ind w:left="374"/>
        <w:jc w:val="both"/>
      </w:pPr>
    </w:p>
    <w:p w:rsidR="00736849" w:rsidRDefault="00736849" w:rsidP="00736849">
      <w:pPr>
        <w:numPr>
          <w:ilvl w:val="0"/>
          <w:numId w:val="4"/>
        </w:numPr>
        <w:jc w:val="both"/>
      </w:pPr>
      <w:r>
        <w:t>L</w:t>
      </w:r>
      <w:r w:rsidRPr="0096237B">
        <w:t>es Pays-Bas et la Suède bénéficient, uniquement pour la période 2007-2013, d’une réduction brute de leur contribution annuelle</w:t>
      </w:r>
      <w:r>
        <w:t xml:space="preserve"> </w:t>
      </w:r>
      <w:r w:rsidRPr="0096237B">
        <w:t xml:space="preserve">calculée en fonction du RNB de respectivement 605 et de 150 millions </w:t>
      </w:r>
      <w:r>
        <w:t xml:space="preserve">euros. </w:t>
      </w:r>
      <w:r w:rsidRPr="0096237B">
        <w:t>Ces réductions sont accordées après le calcul de la correction en faveur du Royaume-Uni et n’ont par</w:t>
      </w:r>
      <w:r>
        <w:t xml:space="preserve"> </w:t>
      </w:r>
      <w:r w:rsidRPr="0096237B">
        <w:t>conséquent aucune incidence sur le mo</w:t>
      </w:r>
      <w:r>
        <w:t>ntant de cette même correction.</w:t>
      </w:r>
    </w:p>
    <w:p w:rsidR="00736849" w:rsidRPr="00E82E79" w:rsidRDefault="00736849" w:rsidP="00736849"/>
    <w:p w:rsidR="00736849" w:rsidRDefault="00684913" w:rsidP="0073684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736849">
        <w:rPr>
          <w:b/>
          <w:bCs/>
          <w:szCs w:val="24"/>
        </w:rPr>
        <w:t xml:space="preserve">. </w:t>
      </w:r>
      <w:r w:rsidR="00736849" w:rsidRPr="00E82E79">
        <w:rPr>
          <w:b/>
          <w:bCs/>
          <w:szCs w:val="24"/>
        </w:rPr>
        <w:t>Incidences sur la part du Luxembourg dans le financement de la Communauté</w:t>
      </w:r>
    </w:p>
    <w:p w:rsidR="00736849" w:rsidRDefault="00736849" w:rsidP="00736849">
      <w:pPr>
        <w:jc w:val="center"/>
        <w:rPr>
          <w:b/>
          <w:bCs/>
          <w:szCs w:val="24"/>
        </w:rPr>
      </w:pPr>
    </w:p>
    <w:p w:rsidR="00736849" w:rsidRPr="00FA0F60" w:rsidRDefault="00736849" w:rsidP="00736849">
      <w:pPr>
        <w:jc w:val="both"/>
      </w:pPr>
      <w:r>
        <w:t>L</w:t>
      </w:r>
      <w:r w:rsidRPr="00FA0F60">
        <w:t xml:space="preserve">a contribution brute du Luxembourg au budget </w:t>
      </w:r>
      <w:r>
        <w:t xml:space="preserve">des recettes communautaires </w:t>
      </w:r>
      <w:r w:rsidRPr="00FA0F60">
        <w:t>(hors ressources propres</w:t>
      </w:r>
      <w:r>
        <w:t xml:space="preserve"> </w:t>
      </w:r>
      <w:r w:rsidRPr="00FA0F60">
        <w:t xml:space="preserve">traditionnelles) </w:t>
      </w:r>
      <w:r>
        <w:t>est estimée</w:t>
      </w:r>
      <w:r w:rsidRPr="00FA0F60">
        <w:t xml:space="preserve"> à environ 2 milliards d’euros pour l’ensemble de la période 2007-</w:t>
      </w:r>
      <w:r>
        <w:t xml:space="preserve"> </w:t>
      </w:r>
      <w:r w:rsidRPr="00FA0F60">
        <w:t>2013, soit en moyenne 287 millions d’euros par an</w:t>
      </w:r>
      <w:r>
        <w:t>. En se basant sur une population moyenne de 475.000 habitants, la contribution annuelle s’élève à environ 604 euros par habitant.</w:t>
      </w:r>
    </w:p>
    <w:p w:rsidR="00736849" w:rsidRDefault="00736849" w:rsidP="00736849"/>
    <w:p w:rsidR="00736849" w:rsidRPr="005F678B" w:rsidRDefault="00736849" w:rsidP="00736849">
      <w:pPr>
        <w:jc w:val="both"/>
      </w:pPr>
      <w:r w:rsidRPr="005F678B">
        <w:t>Le solde net du Luxem</w:t>
      </w:r>
      <w:r>
        <w:t>bourg sur la période 2007-2013, c.</w:t>
      </w:r>
      <w:r w:rsidR="003B14C9">
        <w:t>-</w:t>
      </w:r>
      <w:r>
        <w:t>à</w:t>
      </w:r>
      <w:r w:rsidR="003B14C9">
        <w:t>-</w:t>
      </w:r>
      <w:r>
        <w:t>d. la différence entre l</w:t>
      </w:r>
      <w:r w:rsidRPr="005F678B">
        <w:t>a contribution</w:t>
      </w:r>
      <w:r>
        <w:t xml:space="preserve"> </w:t>
      </w:r>
      <w:r w:rsidRPr="005F678B">
        <w:t>au budget communautaire et les retours dont</w:t>
      </w:r>
      <w:r>
        <w:t xml:space="preserve"> le Luxembourg</w:t>
      </w:r>
      <w:r w:rsidRPr="005F678B">
        <w:t xml:space="preserve"> bénéficiera au titr</w:t>
      </w:r>
      <w:r>
        <w:t xml:space="preserve">e des politiques communautaires, </w:t>
      </w:r>
      <w:r w:rsidRPr="005F678B">
        <w:t xml:space="preserve">est difficile à établir à l’avance. Les chiffres de l’exercice 2006 confirment </w:t>
      </w:r>
      <w:r>
        <w:t>cependant que les montants versé</w:t>
      </w:r>
      <w:r w:rsidRPr="005F678B">
        <w:t>s à partir du budget communautaire au profit du Luxembourg sont inférieurs</w:t>
      </w:r>
      <w:r>
        <w:t xml:space="preserve"> </w:t>
      </w:r>
      <w:r w:rsidRPr="005F678B">
        <w:t>à la contribution annuelle du</w:t>
      </w:r>
      <w:r>
        <w:t xml:space="preserve"> Luxembourg au budget européen</w:t>
      </w:r>
      <w:r w:rsidRPr="005F678B">
        <w:t>. Le</w:t>
      </w:r>
      <w:r>
        <w:t xml:space="preserve"> </w:t>
      </w:r>
      <w:r w:rsidRPr="005F678B">
        <w:t>Luxembourg se retrouve ainsi parmi les contributeurs nets au budget communautaire</w:t>
      </w:r>
      <w:r>
        <w:t xml:space="preserve"> </w:t>
      </w:r>
      <w:r w:rsidRPr="005F678B">
        <w:t>(-0,11% de son RNB en 2006).</w:t>
      </w:r>
    </w:p>
    <w:p w:rsidR="00736849" w:rsidRPr="00FA0F60" w:rsidRDefault="00736849" w:rsidP="00736849"/>
    <w:sectPr w:rsidR="00736849" w:rsidRPr="00FA0F60" w:rsidSect="00736849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D22"/>
    <w:multiLevelType w:val="hybridMultilevel"/>
    <w:tmpl w:val="A1CED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777E1"/>
    <w:multiLevelType w:val="hybridMultilevel"/>
    <w:tmpl w:val="C11E5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C4EC5"/>
    <w:multiLevelType w:val="hybridMultilevel"/>
    <w:tmpl w:val="55B0A12C"/>
    <w:lvl w:ilvl="0" w:tplc="738093B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5D03"/>
    <w:multiLevelType w:val="hybridMultilevel"/>
    <w:tmpl w:val="ABD22884"/>
    <w:lvl w:ilvl="0" w:tplc="0409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87"/>
  <w:displayVerticalDrawingGridEvery w:val="2"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C58"/>
    <w:rsid w:val="003B14C9"/>
    <w:rsid w:val="00431EEE"/>
    <w:rsid w:val="004A477E"/>
    <w:rsid w:val="005A4CE0"/>
    <w:rsid w:val="00684913"/>
    <w:rsid w:val="00736849"/>
    <w:rsid w:val="00952F30"/>
    <w:rsid w:val="00992F28"/>
    <w:rsid w:val="00AD1EE5"/>
    <w:rsid w:val="00AF09ED"/>
    <w:rsid w:val="00C46761"/>
    <w:rsid w:val="00C76E8A"/>
    <w:rsid w:val="00F50ACE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192047-9B87-4257-B064-6890E5A2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0AF"/>
    <w:rPr>
      <w:sz w:val="24"/>
      <w:lang w:val="fr-CH" w:eastAsia="en-US"/>
    </w:rPr>
  </w:style>
  <w:style w:type="paragraph" w:styleId="Titre1">
    <w:name w:val="heading 1"/>
    <w:basedOn w:val="Normal"/>
    <w:next w:val="Normal"/>
    <w:qFormat/>
    <w:rsid w:val="00F84B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Formatvorlage1">
    <w:name w:val="Formatvorlage1"/>
    <w:basedOn w:val="Titre1"/>
    <w:rsid w:val="00F84BCF"/>
    <w:rPr>
      <w:lang w:val="de-CH"/>
    </w:rPr>
  </w:style>
  <w:style w:type="paragraph" w:customStyle="1" w:styleId="Formatech">
    <w:name w:val="Format ech"/>
    <w:basedOn w:val="Normal"/>
    <w:rsid w:val="00B13987"/>
    <w:rPr>
      <w:lang w:val="fr-LU" w:eastAsia="fr-FR"/>
    </w:rPr>
  </w:style>
  <w:style w:type="paragraph" w:styleId="NormalWeb">
    <w:name w:val="Normal (Web)"/>
    <w:basedOn w:val="Normal"/>
    <w:rsid w:val="001A2948"/>
    <w:pPr>
      <w:spacing w:before="100" w:beforeAutospacing="1" w:after="100" w:afterAutospacing="1"/>
    </w:pPr>
    <w:rPr>
      <w:szCs w:val="24"/>
      <w:lang w:val="en-US"/>
    </w:rPr>
  </w:style>
  <w:style w:type="character" w:styleId="lev">
    <w:name w:val="Strong"/>
    <w:basedOn w:val="Policepardfaut"/>
    <w:qFormat/>
    <w:rsid w:val="001A2948"/>
    <w:rPr>
      <w:b/>
      <w:bCs/>
    </w:rPr>
  </w:style>
  <w:style w:type="character" w:styleId="Accentuation">
    <w:name w:val="Emphasis"/>
    <w:basedOn w:val="Policepardfaut"/>
    <w:qFormat/>
    <w:rsid w:val="001A2948"/>
    <w:rPr>
      <w:i/>
      <w:iCs/>
    </w:rPr>
  </w:style>
  <w:style w:type="paragraph" w:customStyle="1" w:styleId="spip">
    <w:name w:val="spip"/>
    <w:basedOn w:val="Normal"/>
    <w:rsid w:val="006C4740"/>
    <w:pPr>
      <w:spacing w:before="100" w:beforeAutospacing="1" w:after="100" w:afterAutospacing="1"/>
    </w:pPr>
    <w:rPr>
      <w:szCs w:val="24"/>
      <w:lang w:val="en-US"/>
    </w:rPr>
  </w:style>
  <w:style w:type="character" w:styleId="Lienhypertexte">
    <w:name w:val="Hyperlink"/>
    <w:basedOn w:val="Policepardfaut"/>
    <w:rsid w:val="00340935"/>
    <w:rPr>
      <w:color w:val="0000FF"/>
      <w:sz w:val="24"/>
      <w:szCs w:val="24"/>
      <w:u w:val="single"/>
    </w:rPr>
  </w:style>
  <w:style w:type="paragraph" w:customStyle="1" w:styleId="titlesub">
    <w:name w:val="title_sub"/>
    <w:basedOn w:val="Normal"/>
    <w:rsid w:val="00340935"/>
    <w:pPr>
      <w:spacing w:before="100" w:beforeAutospacing="1" w:after="100" w:afterAutospacing="1"/>
    </w:pPr>
    <w:rPr>
      <w:rFonts w:ascii="Verdana" w:hAnsi="Verdana"/>
      <w:b/>
      <w:bCs/>
      <w:color w:val="333333"/>
      <w:sz w:val="26"/>
      <w:szCs w:val="26"/>
      <w:lang w:val="en-US"/>
    </w:rPr>
  </w:style>
  <w:style w:type="paragraph" w:styleId="Textedebulles">
    <w:name w:val="Balloon Text"/>
    <w:basedOn w:val="Normal"/>
    <w:semiHidden/>
    <w:rsid w:val="00F53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DP5815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5815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/sftpecos/Dossiers_parlementaires/5815/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9D32F93-3930-43CD-B71D-A61E5315B78F}"/>
</file>

<file path=customXml/itemProps2.xml><?xml version="1.0" encoding="utf-8"?>
<ds:datastoreItem xmlns:ds="http://schemas.openxmlformats.org/officeDocument/2006/customXml" ds:itemID="{87B438EA-9EC4-493D-B550-4D1CA6B2EE9E}"/>
</file>

<file path=customXml/itemProps3.xml><?xml version="1.0" encoding="utf-8"?>
<ds:datastoreItem xmlns:ds="http://schemas.openxmlformats.org/officeDocument/2006/customXml" ds:itemID="{3C2DAD63-394F-4883-8606-33728A7A0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4910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Objet du projet de loi</vt:lpstr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Max Agnes</dc:creator>
  <cp:keywords/>
  <cp:lastModifiedBy>SYSTEM</cp:lastModifiedBy>
  <cp:revision>2</cp:revision>
  <cp:lastPrinted>2008-10-14T18:59:00Z</cp:lastPrinted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