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2D" w:rsidRPr="00A67515" w:rsidRDefault="00393A2D" w:rsidP="00A67515">
      <w:pPr>
        <w:jc w:val="both"/>
        <w:rPr>
          <w:lang w:val="fr-LU"/>
        </w:rPr>
      </w:pPr>
      <w:bookmarkStart w:id="0" w:name="_GoBack"/>
      <w:bookmarkEnd w:id="0"/>
    </w:p>
    <w:p w:rsidR="00DE61D2" w:rsidRPr="00A67515" w:rsidRDefault="00DE61D2" w:rsidP="00A67515">
      <w:pPr>
        <w:jc w:val="both"/>
        <w:rPr>
          <w:b/>
          <w:lang w:val="fr-LU"/>
        </w:rPr>
      </w:pPr>
      <w:r w:rsidRPr="00A67515">
        <w:rPr>
          <w:b/>
          <w:lang w:val="fr-LU"/>
        </w:rPr>
        <w:t>Projet de loi</w:t>
      </w:r>
      <w:r w:rsidR="00A67515">
        <w:rPr>
          <w:b/>
          <w:lang w:val="fr-LU"/>
        </w:rPr>
        <w:t xml:space="preserve"> 5811 </w:t>
      </w:r>
      <w:r w:rsidRPr="00A67515">
        <w:rPr>
          <w:b/>
          <w:lang w:val="fr-LU"/>
        </w:rPr>
        <w:t>portant transposition de la directive 2005/60/CE du Parlement européen et du Conseil du 26 octobre 2005 relative à la prévention de l'utilisation du système financier aux fins du blanchiment de capitaux et du financement du terrorisme,</w:t>
      </w:r>
    </w:p>
    <w:p w:rsidR="00A67515" w:rsidRDefault="00A67515" w:rsidP="00A67515">
      <w:pPr>
        <w:jc w:val="both"/>
        <w:rPr>
          <w:b/>
          <w:lang w:val="fr-LU"/>
        </w:rPr>
      </w:pPr>
    </w:p>
    <w:p w:rsidR="00DE61D2" w:rsidRPr="00A67515" w:rsidRDefault="00DE61D2" w:rsidP="00A67515">
      <w:pPr>
        <w:jc w:val="both"/>
        <w:rPr>
          <w:b/>
          <w:lang w:val="fr-LU"/>
        </w:rPr>
      </w:pPr>
      <w:r w:rsidRPr="00A67515">
        <w:rPr>
          <w:b/>
          <w:lang w:val="fr-LU"/>
        </w:rPr>
        <w:t>portant transposition de la directive 2006/70/CE de la Commission du 1</w:t>
      </w:r>
      <w:r w:rsidRPr="00A67515">
        <w:rPr>
          <w:b/>
          <w:vertAlign w:val="superscript"/>
          <w:lang w:val="fr-LU"/>
        </w:rPr>
        <w:t>er</w:t>
      </w:r>
      <w:r w:rsidRPr="00A67515">
        <w:rPr>
          <w:b/>
          <w:lang w:val="fr-LU"/>
        </w:rPr>
        <w:t xml:space="preserve"> août 2006 portant mesures de mise en œuvre de la directive 2005/60/CE du Parlement européen et du Conseil pour ce qui concerne la définition des "personnes politiquement exposées" et les conditions techniques de l'application d'obligations simplifiées de vigilance à l'égard de la clientèle ainsi que de l'exemption au motif d'une activité financière exercée à titre occasionnel ou à une échelle très limitée</w:t>
      </w:r>
    </w:p>
    <w:p w:rsidR="00A67515" w:rsidRDefault="00A67515" w:rsidP="00A67515">
      <w:pPr>
        <w:jc w:val="both"/>
        <w:rPr>
          <w:b/>
          <w:lang w:val="fr-LU"/>
        </w:rPr>
      </w:pPr>
    </w:p>
    <w:p w:rsidR="00DE61D2" w:rsidRPr="00A67515" w:rsidRDefault="00DE61D2" w:rsidP="00A67515">
      <w:pPr>
        <w:jc w:val="both"/>
        <w:rPr>
          <w:b/>
          <w:lang w:val="fr-LU"/>
        </w:rPr>
      </w:pPr>
      <w:r w:rsidRPr="00A67515">
        <w:rPr>
          <w:b/>
          <w:lang w:val="fr-LU"/>
        </w:rPr>
        <w:t>et modifiant:</w:t>
      </w:r>
    </w:p>
    <w:p w:rsidR="00DE61D2" w:rsidRPr="00A67515" w:rsidRDefault="00DE61D2" w:rsidP="00A67515">
      <w:pPr>
        <w:numPr>
          <w:ilvl w:val="0"/>
          <w:numId w:val="13"/>
        </w:numPr>
        <w:jc w:val="both"/>
        <w:rPr>
          <w:b/>
          <w:lang w:val="fr-LU"/>
        </w:rPr>
      </w:pPr>
      <w:r w:rsidRPr="00A67515">
        <w:rPr>
          <w:b/>
          <w:lang w:val="fr-LU"/>
        </w:rPr>
        <w:t>la loi modifiée du 12 novembre 2004 relative à la lutte contre le blanchiment et contre le financement du terrorisme;</w:t>
      </w:r>
    </w:p>
    <w:p w:rsidR="00DE61D2" w:rsidRPr="00A67515" w:rsidRDefault="00DE61D2" w:rsidP="00A67515">
      <w:pPr>
        <w:numPr>
          <w:ilvl w:val="0"/>
          <w:numId w:val="13"/>
        </w:numPr>
        <w:jc w:val="both"/>
        <w:rPr>
          <w:b/>
          <w:lang w:val="fr-LU"/>
        </w:rPr>
      </w:pPr>
      <w:r w:rsidRPr="00A67515">
        <w:rPr>
          <w:b/>
          <w:lang w:val="fr-LU"/>
        </w:rPr>
        <w:t>la loi modifiée du 7 mars 1980 sur l'organisation judiciaire;</w:t>
      </w:r>
    </w:p>
    <w:p w:rsidR="00DE61D2" w:rsidRPr="00A67515" w:rsidRDefault="00DE61D2" w:rsidP="00A67515">
      <w:pPr>
        <w:numPr>
          <w:ilvl w:val="0"/>
          <w:numId w:val="13"/>
        </w:numPr>
        <w:jc w:val="both"/>
        <w:rPr>
          <w:b/>
          <w:lang w:val="fr-LU"/>
        </w:rPr>
      </w:pPr>
      <w:r w:rsidRPr="00A67515">
        <w:rPr>
          <w:b/>
          <w:lang w:val="fr-LU"/>
        </w:rPr>
        <w:t>la loi modifiée du 5 avril 1993 relative au secteur financier;</w:t>
      </w:r>
    </w:p>
    <w:p w:rsidR="00DE61D2" w:rsidRPr="00A67515" w:rsidRDefault="00DE61D2" w:rsidP="00A67515">
      <w:pPr>
        <w:numPr>
          <w:ilvl w:val="0"/>
          <w:numId w:val="13"/>
        </w:numPr>
        <w:jc w:val="both"/>
        <w:rPr>
          <w:b/>
          <w:lang w:val="fr-LU"/>
        </w:rPr>
      </w:pPr>
      <w:r w:rsidRPr="00A67515">
        <w:rPr>
          <w:b/>
          <w:lang w:val="fr-LU"/>
        </w:rPr>
        <w:t>la loi modifiée du 6 décembre 1991 sur le secteur des assurances;</w:t>
      </w:r>
    </w:p>
    <w:p w:rsidR="00DE61D2" w:rsidRPr="00A67515" w:rsidRDefault="00DE61D2" w:rsidP="00A67515">
      <w:pPr>
        <w:numPr>
          <w:ilvl w:val="0"/>
          <w:numId w:val="13"/>
        </w:numPr>
        <w:jc w:val="both"/>
        <w:rPr>
          <w:b/>
          <w:lang w:val="fr-LU"/>
        </w:rPr>
      </w:pPr>
      <w:r w:rsidRPr="00A67515">
        <w:rPr>
          <w:b/>
          <w:lang w:val="fr-LU"/>
        </w:rPr>
        <w:t>la loi modifiée du 9 décembre 1976 relative à l'organisation du notariat;</w:t>
      </w:r>
    </w:p>
    <w:p w:rsidR="00DE61D2" w:rsidRPr="00A67515" w:rsidRDefault="00DE61D2" w:rsidP="00A67515">
      <w:pPr>
        <w:numPr>
          <w:ilvl w:val="0"/>
          <w:numId w:val="13"/>
        </w:numPr>
        <w:jc w:val="both"/>
        <w:rPr>
          <w:b/>
          <w:lang w:val="fr-LU"/>
        </w:rPr>
      </w:pPr>
      <w:r w:rsidRPr="00A67515">
        <w:rPr>
          <w:b/>
          <w:lang w:val="fr-LU"/>
        </w:rPr>
        <w:t>la loi modifiée du 10 août 1991 sur la profession d'avocat;</w:t>
      </w:r>
    </w:p>
    <w:p w:rsidR="00DE61D2" w:rsidRPr="00A67515" w:rsidRDefault="00DE61D2" w:rsidP="00A67515">
      <w:pPr>
        <w:numPr>
          <w:ilvl w:val="0"/>
          <w:numId w:val="13"/>
        </w:numPr>
        <w:jc w:val="both"/>
        <w:rPr>
          <w:b/>
          <w:lang w:val="fr-LU"/>
        </w:rPr>
      </w:pPr>
      <w:r w:rsidRPr="00A67515">
        <w:rPr>
          <w:b/>
          <w:lang w:val="fr-LU"/>
        </w:rPr>
        <w:t>la loi modifiée du 28 juin 1984 portant organisation de la profession de réviseurs d'entreprises;</w:t>
      </w:r>
    </w:p>
    <w:p w:rsidR="00DE61D2" w:rsidRPr="00A67515" w:rsidRDefault="00DE61D2" w:rsidP="00A67515">
      <w:pPr>
        <w:numPr>
          <w:ilvl w:val="0"/>
          <w:numId w:val="13"/>
        </w:numPr>
        <w:jc w:val="both"/>
        <w:rPr>
          <w:b/>
          <w:lang w:val="fr-LU"/>
        </w:rPr>
      </w:pPr>
      <w:r w:rsidRPr="00A67515">
        <w:rPr>
          <w:b/>
          <w:lang w:val="fr-LU"/>
        </w:rPr>
        <w:t>la loi du 10 juin 1999 portant organisation de l</w:t>
      </w:r>
      <w:r w:rsidR="00874561" w:rsidRPr="00A67515">
        <w:rPr>
          <w:b/>
          <w:lang w:val="fr-LU"/>
        </w:rPr>
        <w:t>a profession d'expert comptable</w:t>
      </w:r>
    </w:p>
    <w:p w:rsidR="00DE61D2" w:rsidRPr="00A67515" w:rsidRDefault="00DE61D2" w:rsidP="00A67515">
      <w:pPr>
        <w:jc w:val="both"/>
        <w:rPr>
          <w:lang w:val="fr-LU"/>
        </w:rPr>
      </w:pPr>
    </w:p>
    <w:p w:rsidR="001070DA" w:rsidRPr="00A67515" w:rsidRDefault="001070DA" w:rsidP="00D6148E">
      <w:pPr>
        <w:autoSpaceDE w:val="0"/>
        <w:autoSpaceDN w:val="0"/>
        <w:adjustRightInd w:val="0"/>
        <w:jc w:val="both"/>
        <w:rPr>
          <w:color w:val="000000"/>
        </w:rPr>
      </w:pPr>
    </w:p>
    <w:p w:rsidR="00A67515" w:rsidRPr="00A67515" w:rsidRDefault="001070DA" w:rsidP="00D6148E">
      <w:pPr>
        <w:autoSpaceDE w:val="0"/>
        <w:autoSpaceDN w:val="0"/>
        <w:adjustRightInd w:val="0"/>
        <w:jc w:val="both"/>
      </w:pPr>
      <w:r w:rsidRPr="00A67515">
        <w:t xml:space="preserve">Le </w:t>
      </w:r>
      <w:r w:rsidRPr="007821EF">
        <w:rPr>
          <w:b/>
          <w:u w:val="single"/>
        </w:rPr>
        <w:t>projet de loi 5811</w:t>
      </w:r>
      <w:r w:rsidRPr="00A67515">
        <w:t xml:space="preserve"> </w:t>
      </w:r>
      <w:r w:rsidR="00A67515" w:rsidRPr="00A67515">
        <w:rPr>
          <w:color w:val="000000"/>
        </w:rPr>
        <w:t>transpose en droit luxembourgeois deux directives européennes</w:t>
      </w:r>
      <w:r w:rsidR="00A67515" w:rsidRPr="00A67515">
        <w:t xml:space="preserve"> et </w:t>
      </w:r>
      <w:r w:rsidRPr="00A67515">
        <w:t xml:space="preserve">porte sur les obligations et comportements à respecter par les professionnels afin de leur éviter d’être abusés par des criminels blanchisseurs ou terroristes. </w:t>
      </w:r>
    </w:p>
    <w:p w:rsidR="00A00D2F" w:rsidRPr="00A67515" w:rsidRDefault="00A00D2F" w:rsidP="00112083">
      <w:pPr>
        <w:jc w:val="both"/>
        <w:rPr>
          <w:b/>
        </w:rPr>
      </w:pPr>
    </w:p>
    <w:p w:rsidR="00050F48" w:rsidRPr="00A67515" w:rsidRDefault="00050F48" w:rsidP="00112083">
      <w:pPr>
        <w:jc w:val="both"/>
        <w:rPr>
          <w:b/>
        </w:rPr>
      </w:pPr>
      <w:r w:rsidRPr="00A67515">
        <w:rPr>
          <w:b/>
        </w:rPr>
        <w:t>Extension du champ d'application des personnes visées par les obligations professionnelles</w:t>
      </w:r>
    </w:p>
    <w:p w:rsidR="007821EF" w:rsidRDefault="007821EF" w:rsidP="00D6148E">
      <w:pPr>
        <w:autoSpaceDE w:val="0"/>
        <w:autoSpaceDN w:val="0"/>
        <w:adjustRightInd w:val="0"/>
        <w:jc w:val="both"/>
      </w:pPr>
    </w:p>
    <w:p w:rsidR="00D6148E" w:rsidRPr="00A67515" w:rsidRDefault="00D6148E" w:rsidP="00D6148E">
      <w:pPr>
        <w:autoSpaceDE w:val="0"/>
        <w:autoSpaceDN w:val="0"/>
        <w:adjustRightInd w:val="0"/>
        <w:jc w:val="both"/>
      </w:pPr>
      <w:r w:rsidRPr="00A67515">
        <w:t xml:space="preserve">Le projet de loi étend le champ d'application </w:t>
      </w:r>
      <w:r w:rsidR="001B74FA" w:rsidRPr="00A67515">
        <w:t xml:space="preserve">rationae personae </w:t>
      </w:r>
      <w:r w:rsidRPr="00A67515">
        <w:t xml:space="preserve">de la loi du 12 novembre 2004 </w:t>
      </w:r>
      <w:r w:rsidR="00050F48" w:rsidRPr="00A67515">
        <w:t xml:space="preserve">relative à la lutte contre le blanchiment et le financement du terrorisme </w:t>
      </w:r>
      <w:r w:rsidRPr="00A67515">
        <w:t>aux:</w:t>
      </w:r>
    </w:p>
    <w:p w:rsidR="00400582" w:rsidRPr="00A67515" w:rsidRDefault="00D6148E" w:rsidP="00D6148E">
      <w:pPr>
        <w:numPr>
          <w:ilvl w:val="0"/>
          <w:numId w:val="14"/>
        </w:numPr>
        <w:autoSpaceDE w:val="0"/>
        <w:autoSpaceDN w:val="0"/>
        <w:adjustRightInd w:val="0"/>
        <w:jc w:val="both"/>
      </w:pPr>
      <w:r w:rsidRPr="00A67515">
        <w:t>prestataires de services aux sociétés et fiducies</w:t>
      </w:r>
      <w:r w:rsidR="00400582" w:rsidRPr="00A67515">
        <w:t>;</w:t>
      </w:r>
    </w:p>
    <w:p w:rsidR="00D6148E" w:rsidRPr="00A67515" w:rsidRDefault="00400582" w:rsidP="00D6148E">
      <w:pPr>
        <w:numPr>
          <w:ilvl w:val="0"/>
          <w:numId w:val="14"/>
        </w:numPr>
        <w:autoSpaceDE w:val="0"/>
        <w:autoSpaceDN w:val="0"/>
        <w:adjustRightInd w:val="0"/>
        <w:jc w:val="both"/>
      </w:pPr>
      <w:r w:rsidRPr="00A67515">
        <w:t>intermédiaires d'assurances lorsqu'ils s'occupent d'assurance vie et d'autres services liés à des placements</w:t>
      </w:r>
      <w:r w:rsidR="005E5E91" w:rsidRPr="00A67515">
        <w:t>,</w:t>
      </w:r>
      <w:r w:rsidR="00D6148E" w:rsidRPr="00A67515">
        <w:t xml:space="preserve"> ainsi qu’aux</w:t>
      </w:r>
    </w:p>
    <w:p w:rsidR="00D6148E" w:rsidRPr="00A67515" w:rsidRDefault="00D6148E" w:rsidP="00D6148E">
      <w:pPr>
        <w:numPr>
          <w:ilvl w:val="0"/>
          <w:numId w:val="14"/>
        </w:numPr>
        <w:autoSpaceDE w:val="0"/>
        <w:autoSpaceDN w:val="0"/>
        <w:adjustRightInd w:val="0"/>
        <w:jc w:val="both"/>
      </w:pPr>
      <w:r w:rsidRPr="00A67515">
        <w:t>marchands traitant en espèces pour un montant supérieur ou égal à 15.000 euros.</w:t>
      </w:r>
    </w:p>
    <w:p w:rsidR="00D6148E" w:rsidRPr="00A67515" w:rsidRDefault="00D6148E" w:rsidP="00112083">
      <w:pPr>
        <w:jc w:val="both"/>
      </w:pPr>
    </w:p>
    <w:p w:rsidR="00050F48" w:rsidRPr="00A67515" w:rsidRDefault="00050F48" w:rsidP="00112083">
      <w:pPr>
        <w:jc w:val="both"/>
        <w:rPr>
          <w:b/>
        </w:rPr>
      </w:pPr>
      <w:r w:rsidRPr="00A67515">
        <w:rPr>
          <w:b/>
        </w:rPr>
        <w:t>L'obligation de vigilance à l'égard du client</w:t>
      </w:r>
    </w:p>
    <w:p w:rsidR="007821EF" w:rsidRDefault="007821EF" w:rsidP="00F7385B">
      <w:pPr>
        <w:autoSpaceDE w:val="0"/>
        <w:autoSpaceDN w:val="0"/>
        <w:adjustRightInd w:val="0"/>
        <w:jc w:val="both"/>
        <w:rPr>
          <w:color w:val="000000"/>
        </w:rPr>
      </w:pPr>
    </w:p>
    <w:p w:rsidR="00F7385B" w:rsidRPr="00E65249" w:rsidRDefault="00050F48" w:rsidP="00F7385B">
      <w:pPr>
        <w:autoSpaceDE w:val="0"/>
        <w:autoSpaceDN w:val="0"/>
        <w:adjustRightInd w:val="0"/>
        <w:jc w:val="both"/>
      </w:pPr>
      <w:r w:rsidRPr="00E65249">
        <w:rPr>
          <w:color w:val="000000"/>
        </w:rPr>
        <w:t>Le concept "obligation de connaître son client" est remplacé par le</w:t>
      </w:r>
      <w:r w:rsidR="00971CF0" w:rsidRPr="00E65249">
        <w:rPr>
          <w:color w:val="000000"/>
        </w:rPr>
        <w:t xml:space="preserve"> nouveau concept </w:t>
      </w:r>
      <w:r w:rsidRPr="00E65249">
        <w:rPr>
          <w:color w:val="000000"/>
        </w:rPr>
        <w:t xml:space="preserve">"obligation </w:t>
      </w:r>
      <w:r w:rsidR="00971CF0" w:rsidRPr="00E65249">
        <w:rPr>
          <w:color w:val="000000"/>
        </w:rPr>
        <w:t>de vigilance à l'égard du client</w:t>
      </w:r>
      <w:r w:rsidRPr="00E65249">
        <w:rPr>
          <w:color w:val="000000"/>
        </w:rPr>
        <w:t>"</w:t>
      </w:r>
      <w:r w:rsidR="00971CF0" w:rsidRPr="00E65249">
        <w:rPr>
          <w:color w:val="000000"/>
        </w:rPr>
        <w:t>, une</w:t>
      </w:r>
      <w:r w:rsidR="00F7385B" w:rsidRPr="00E65249">
        <w:rPr>
          <w:color w:val="000000"/>
        </w:rPr>
        <w:t xml:space="preserve"> approche </w:t>
      </w:r>
      <w:r w:rsidR="00971CF0" w:rsidRPr="00E65249">
        <w:rPr>
          <w:color w:val="000000"/>
        </w:rPr>
        <w:t>générale basée</w:t>
      </w:r>
      <w:r w:rsidR="00F7385B" w:rsidRPr="00E65249">
        <w:rPr>
          <w:color w:val="000000"/>
        </w:rPr>
        <w:t xml:space="preserve"> sur les risques</w:t>
      </w:r>
      <w:r w:rsidR="00971CF0" w:rsidRPr="00E65249">
        <w:rPr>
          <w:color w:val="000000"/>
        </w:rPr>
        <w:t>.</w:t>
      </w:r>
      <w:r w:rsidRPr="00E65249">
        <w:rPr>
          <w:color w:val="000000"/>
        </w:rPr>
        <w:t xml:space="preserve"> </w:t>
      </w:r>
      <w:r w:rsidR="00971CF0" w:rsidRPr="00E65249">
        <w:rPr>
          <w:color w:val="000000"/>
        </w:rPr>
        <w:t>L'idée sous-jacente est que les professionnels devraient concentrer leurs efforts surtout sur des clients, activités et produits présentant un risque en matière de blanchiment ou de financement du terrorisme (obligations simplifiées et obligations renforcées de vigilance).</w:t>
      </w:r>
      <w:r w:rsidR="00F7385B" w:rsidRPr="00E65249">
        <w:rPr>
          <w:color w:val="000000"/>
        </w:rPr>
        <w:t xml:space="preserve"> </w:t>
      </w:r>
      <w:r w:rsidR="00971CF0" w:rsidRPr="00E65249">
        <w:rPr>
          <w:color w:val="000000"/>
        </w:rPr>
        <w:t xml:space="preserve">Cette </w:t>
      </w:r>
      <w:r w:rsidR="00F7385B" w:rsidRPr="00E65249">
        <w:rPr>
          <w:color w:val="000000"/>
        </w:rPr>
        <w:t xml:space="preserve">approche </w:t>
      </w:r>
      <w:r w:rsidR="00971CF0" w:rsidRPr="00E65249">
        <w:rPr>
          <w:color w:val="000000"/>
        </w:rPr>
        <w:t>a le mérite d'apporter</w:t>
      </w:r>
      <w:r w:rsidR="00F7385B" w:rsidRPr="00E65249">
        <w:rPr>
          <w:color w:val="000000"/>
        </w:rPr>
        <w:t xml:space="preserve"> plus de flexibilité</w:t>
      </w:r>
      <w:r w:rsidRPr="00E65249">
        <w:rPr>
          <w:color w:val="000000"/>
        </w:rPr>
        <w:t xml:space="preserve"> aux professionnels. Si globalement les obligations des professionnels restent les mêmes, elles sont formulées avec plus de clarté et de précision.</w:t>
      </w:r>
    </w:p>
    <w:p w:rsidR="00F7385B" w:rsidRPr="00E65249" w:rsidRDefault="00F7385B" w:rsidP="00F7385B">
      <w:pPr>
        <w:autoSpaceDE w:val="0"/>
        <w:autoSpaceDN w:val="0"/>
        <w:adjustRightInd w:val="0"/>
        <w:jc w:val="both"/>
      </w:pPr>
    </w:p>
    <w:p w:rsidR="006133BA" w:rsidRPr="0066154A" w:rsidRDefault="006133BA" w:rsidP="00E528DC">
      <w:pPr>
        <w:autoSpaceDE w:val="0"/>
        <w:autoSpaceDN w:val="0"/>
        <w:adjustRightInd w:val="0"/>
        <w:jc w:val="both"/>
        <w:rPr>
          <w:b/>
        </w:rPr>
      </w:pPr>
      <w:r w:rsidRPr="0066154A">
        <w:rPr>
          <w:b/>
        </w:rPr>
        <w:lastRenderedPageBreak/>
        <w:t>Autres dispositions novatrices</w:t>
      </w:r>
    </w:p>
    <w:p w:rsidR="007821EF" w:rsidRDefault="007821EF" w:rsidP="0098744A">
      <w:pPr>
        <w:autoSpaceDE w:val="0"/>
        <w:autoSpaceDN w:val="0"/>
        <w:adjustRightInd w:val="0"/>
        <w:jc w:val="both"/>
      </w:pPr>
    </w:p>
    <w:p w:rsidR="0098744A" w:rsidRPr="0066154A" w:rsidRDefault="0098744A" w:rsidP="0098744A">
      <w:pPr>
        <w:autoSpaceDE w:val="0"/>
        <w:autoSpaceDN w:val="0"/>
        <w:adjustRightInd w:val="0"/>
        <w:jc w:val="both"/>
      </w:pPr>
      <w:r w:rsidRPr="0066154A">
        <w:t xml:space="preserve">Certaines définitions, par exemple celle du „bénéficiaire effectif“, sont reformulées afin d'augmenter le degré de précision de certains concepts. </w:t>
      </w:r>
    </w:p>
    <w:p w:rsidR="0098744A" w:rsidRPr="0066154A" w:rsidRDefault="0098744A" w:rsidP="00E528DC">
      <w:pPr>
        <w:autoSpaceDE w:val="0"/>
        <w:autoSpaceDN w:val="0"/>
        <w:adjustRightInd w:val="0"/>
        <w:jc w:val="both"/>
      </w:pPr>
    </w:p>
    <w:p w:rsidR="00E528DC" w:rsidRPr="0066154A" w:rsidRDefault="007821EF" w:rsidP="00E528DC">
      <w:pPr>
        <w:autoSpaceDE w:val="0"/>
        <w:autoSpaceDN w:val="0"/>
        <w:adjustRightInd w:val="0"/>
        <w:jc w:val="both"/>
      </w:pPr>
      <w:r>
        <w:t>L</w:t>
      </w:r>
      <w:r w:rsidR="00E528DC" w:rsidRPr="0066154A">
        <w:t>'obligation de disposer d'une organisation interne adéquate à charge des professionnels</w:t>
      </w:r>
      <w:r>
        <w:t xml:space="preserve"> est reformulée</w:t>
      </w:r>
      <w:r w:rsidR="00E528DC" w:rsidRPr="0066154A">
        <w:t xml:space="preserve">. </w:t>
      </w:r>
    </w:p>
    <w:p w:rsidR="0066154A" w:rsidRPr="0066154A" w:rsidRDefault="0066154A" w:rsidP="00E528DC">
      <w:pPr>
        <w:autoSpaceDE w:val="0"/>
        <w:autoSpaceDN w:val="0"/>
        <w:adjustRightInd w:val="0"/>
        <w:jc w:val="both"/>
      </w:pPr>
    </w:p>
    <w:p w:rsidR="0034473C" w:rsidRPr="0066154A" w:rsidRDefault="006133BA" w:rsidP="00E528DC">
      <w:pPr>
        <w:autoSpaceDE w:val="0"/>
        <w:autoSpaceDN w:val="0"/>
        <w:adjustRightInd w:val="0"/>
        <w:jc w:val="both"/>
      </w:pPr>
      <w:r w:rsidRPr="0066154A">
        <w:t>Par ailleurs, l</w:t>
      </w:r>
      <w:r w:rsidR="0034473C" w:rsidRPr="0066154A">
        <w:t>e projet de loi ajoute la précision que l'identité des employés du professionnel ayant fourni les informations aux autorités est tenue confidentielle par les autorités, à moins que sa révélation ne soit indispensable pour assurer la régularité des poursuites en justice ou assurer la preuve des faits formant la base de ces poursuites.</w:t>
      </w:r>
    </w:p>
    <w:p w:rsidR="0034473C" w:rsidRPr="0066154A" w:rsidRDefault="0034473C" w:rsidP="00E528DC">
      <w:pPr>
        <w:autoSpaceDE w:val="0"/>
        <w:autoSpaceDN w:val="0"/>
        <w:adjustRightInd w:val="0"/>
        <w:jc w:val="both"/>
      </w:pPr>
    </w:p>
    <w:p w:rsidR="00F7385B" w:rsidRPr="0066154A" w:rsidRDefault="00843F5D" w:rsidP="00F7385B">
      <w:pPr>
        <w:autoSpaceDE w:val="0"/>
        <w:autoSpaceDN w:val="0"/>
        <w:adjustRightInd w:val="0"/>
        <w:jc w:val="both"/>
      </w:pPr>
      <w:r w:rsidRPr="0066154A">
        <w:t>Il est introduit le régime du tiers introducteur qui permet aux professionnels de recourir pour l'exécution des</w:t>
      </w:r>
      <w:r w:rsidR="00F7385B" w:rsidRPr="0066154A">
        <w:t xml:space="preserve"> mesures d’identification</w:t>
      </w:r>
      <w:r w:rsidRPr="0066154A">
        <w:t xml:space="preserve"> à certains tiers. Ce régime est soumis à certaines conditions. </w:t>
      </w:r>
    </w:p>
    <w:p w:rsidR="0066154A" w:rsidRDefault="0066154A" w:rsidP="00F7385B">
      <w:pPr>
        <w:autoSpaceDE w:val="0"/>
        <w:autoSpaceDN w:val="0"/>
        <w:adjustRightInd w:val="0"/>
        <w:jc w:val="both"/>
        <w:rPr>
          <w:rFonts w:ascii="Arial" w:hAnsi="Arial"/>
        </w:rPr>
      </w:pPr>
    </w:p>
    <w:p w:rsidR="0066154A" w:rsidRPr="00353D93" w:rsidRDefault="00843F5D" w:rsidP="00F7385B">
      <w:pPr>
        <w:autoSpaceDE w:val="0"/>
        <w:autoSpaceDN w:val="0"/>
        <w:adjustRightInd w:val="0"/>
        <w:jc w:val="both"/>
      </w:pPr>
      <w:r w:rsidRPr="0066154A">
        <w:t>Il y a lieu de distinguer du régime du tiers introducteur celui de l</w:t>
      </w:r>
      <w:r w:rsidR="000F0234" w:rsidRPr="0066154A">
        <w:t xml:space="preserve">a situation où les professionnels, par voie contractuelle, </w:t>
      </w:r>
      <w:proofErr w:type="spellStart"/>
      <w:r w:rsidR="000F0234" w:rsidRPr="0066154A">
        <w:t>externalisent</w:t>
      </w:r>
      <w:proofErr w:type="spellEnd"/>
      <w:r w:rsidR="000F0234" w:rsidRPr="0066154A">
        <w:t xml:space="preserve"> ou délèguent certaines tâches à d'autres </w:t>
      </w:r>
      <w:r w:rsidR="000F0234" w:rsidRPr="00353D93">
        <w:t>personnes auxquelles ils font confiance (</w:t>
      </w:r>
      <w:proofErr w:type="spellStart"/>
      <w:r w:rsidR="000F0234" w:rsidRPr="00353D93">
        <w:t>outsourcing</w:t>
      </w:r>
      <w:proofErr w:type="spellEnd"/>
      <w:r w:rsidR="00874561" w:rsidRPr="00353D93">
        <w:t xml:space="preserve">). </w:t>
      </w:r>
    </w:p>
    <w:p w:rsidR="0066154A" w:rsidRPr="00353D93" w:rsidRDefault="0066154A" w:rsidP="00F7385B">
      <w:pPr>
        <w:autoSpaceDE w:val="0"/>
        <w:autoSpaceDN w:val="0"/>
        <w:adjustRightInd w:val="0"/>
        <w:jc w:val="both"/>
      </w:pPr>
    </w:p>
    <w:p w:rsidR="000F0234" w:rsidRPr="00353D93" w:rsidRDefault="000F0234" w:rsidP="00353D93">
      <w:pPr>
        <w:autoSpaceDE w:val="0"/>
        <w:autoSpaceDN w:val="0"/>
        <w:adjustRightInd w:val="0"/>
        <w:jc w:val="both"/>
      </w:pPr>
      <w:r w:rsidRPr="00353D93">
        <w:t>La 3</w:t>
      </w:r>
      <w:r w:rsidRPr="00353D93">
        <w:rPr>
          <w:vertAlign w:val="superscript"/>
        </w:rPr>
        <w:t>e</w:t>
      </w:r>
      <w:r w:rsidRPr="00353D93">
        <w:t xml:space="preserve"> directive anti-blanchiment </w:t>
      </w:r>
      <w:r w:rsidR="00F7385B" w:rsidRPr="00353D93">
        <w:t xml:space="preserve">exige un suivi du respect par les professionnels des obligations en matière de lutte contre le blanchiment et contre le financement du terrorisme. </w:t>
      </w:r>
      <w:r w:rsidRPr="00353D93">
        <w:t>P</w:t>
      </w:r>
      <w:r w:rsidR="00F7385B" w:rsidRPr="00353D93">
        <w:t>our le secteur financier, cette surveillance est exercée par les autorités de surveillance prudentielles (C</w:t>
      </w:r>
      <w:r w:rsidRPr="00353D93">
        <w:t>ommission de surveillance du secteur financier, Commissariat aux assurances</w:t>
      </w:r>
      <w:r w:rsidR="00F7385B" w:rsidRPr="00353D93">
        <w:t>). Pour les secteurs disposant d’une autorité d’autorégulation, le projet de loi ins</w:t>
      </w:r>
      <w:r w:rsidRPr="00353D93">
        <w:t>è</w:t>
      </w:r>
      <w:r w:rsidR="00F7385B" w:rsidRPr="00353D93">
        <w:t>re une disposition à ce sujet</w:t>
      </w:r>
      <w:r w:rsidRPr="00353D93">
        <w:t xml:space="preserve"> dans les lois sectorielles</w:t>
      </w:r>
      <w:r w:rsidR="0001125F" w:rsidRPr="00353D93">
        <w:t xml:space="preserve"> afférentes</w:t>
      </w:r>
      <w:r w:rsidR="00353D93" w:rsidRPr="00353D93">
        <w:t>.</w:t>
      </w:r>
    </w:p>
    <w:p w:rsidR="000F0234" w:rsidRPr="004C6355" w:rsidRDefault="000F0234" w:rsidP="00F7385B">
      <w:pPr>
        <w:autoSpaceDE w:val="0"/>
        <w:autoSpaceDN w:val="0"/>
        <w:adjustRightInd w:val="0"/>
        <w:jc w:val="both"/>
      </w:pPr>
    </w:p>
    <w:p w:rsidR="00362C26" w:rsidRPr="004C6355" w:rsidRDefault="00362C26" w:rsidP="0078452E">
      <w:pPr>
        <w:autoSpaceDE w:val="0"/>
        <w:autoSpaceDN w:val="0"/>
        <w:adjustRightInd w:val="0"/>
        <w:jc w:val="both"/>
      </w:pPr>
      <w:r w:rsidRPr="004C6355">
        <w:t xml:space="preserve">Dans le passé, la définition quelque peu vague des "personnes politiquement exposées" avait </w:t>
      </w:r>
      <w:r w:rsidR="001D270F" w:rsidRPr="004C6355">
        <w:t xml:space="preserve">incité </w:t>
      </w:r>
      <w:r w:rsidRPr="004C6355">
        <w:t>les banquiers de la place luxembourgeoise à l’appliquer aux résidents luxembourgeois. Il apparaît cependant que le GAFI a, dans ce contexte, toujours parlé de "personnes politiquement exposées étrangères". A l’avenir, la disposition de la directive ne visera plus que les personnes correspondant à la définition du point (9) du paragraphe (1) de l’article 1</w:t>
      </w:r>
      <w:proofErr w:type="spellStart"/>
      <w:r w:rsidRPr="004C6355">
        <w:rPr>
          <w:position w:val="8"/>
          <w:vertAlign w:val="superscript"/>
        </w:rPr>
        <w:t>er</w:t>
      </w:r>
      <w:proofErr w:type="spellEnd"/>
      <w:r w:rsidRPr="004C6355">
        <w:t xml:space="preserve">, résidant à l’étranger. Les procédures à mettre en place dans le cadre de l’obligation renforcée de vigilance à l’égard de "personnes politiquement exposées" ne signifient pas que ces personnes sont considérées comme étant d’office suspectes. </w:t>
      </w:r>
    </w:p>
    <w:p w:rsidR="00362C26" w:rsidRPr="004C6355" w:rsidRDefault="00362C26" w:rsidP="00F7385B">
      <w:pPr>
        <w:autoSpaceDE w:val="0"/>
        <w:autoSpaceDN w:val="0"/>
        <w:adjustRightInd w:val="0"/>
        <w:jc w:val="both"/>
      </w:pPr>
    </w:p>
    <w:p w:rsidR="00F7385B" w:rsidRPr="004C6355" w:rsidRDefault="00F7385B" w:rsidP="00F7385B">
      <w:pPr>
        <w:autoSpaceDE w:val="0"/>
        <w:autoSpaceDN w:val="0"/>
        <w:adjustRightInd w:val="0"/>
        <w:jc w:val="both"/>
      </w:pPr>
      <w:r w:rsidRPr="004C6355">
        <w:t xml:space="preserve">A plusieurs reprises la directive 2005/60/CE et le projet de loi font référence aux mesures équivalentes de pays tiers. Les Etats membres se sont mis d’accord pour établir une liste commune de pays tiers visés. </w:t>
      </w:r>
    </w:p>
    <w:p w:rsidR="004C6355" w:rsidRPr="004C6355" w:rsidRDefault="004C6355" w:rsidP="00F465DB">
      <w:pPr>
        <w:autoSpaceDE w:val="0"/>
        <w:autoSpaceDN w:val="0"/>
        <w:adjustRightInd w:val="0"/>
        <w:jc w:val="both"/>
      </w:pPr>
    </w:p>
    <w:p w:rsidR="004C6355" w:rsidRPr="004C6355" w:rsidRDefault="00F465DB" w:rsidP="00F465DB">
      <w:pPr>
        <w:autoSpaceDE w:val="0"/>
        <w:autoSpaceDN w:val="0"/>
        <w:adjustRightInd w:val="0"/>
        <w:jc w:val="both"/>
      </w:pPr>
      <w:r w:rsidRPr="004C6355">
        <w:t>Le p</w:t>
      </w:r>
      <w:r w:rsidR="005C2F3B">
        <w:t>rojet de loi prévoi</w:t>
      </w:r>
      <w:r w:rsidRPr="004C6355">
        <w:t>t que les "établissements bancaires" doivent disposer de systèmes leur permettant des réponses rapides et complètes aux demandes d’information de la cellule de renseignement financier</w:t>
      </w:r>
      <w:r w:rsidR="004C6355" w:rsidRPr="004C6355">
        <w:t>.</w:t>
      </w:r>
    </w:p>
    <w:p w:rsidR="00E528DC" w:rsidRDefault="00E528DC" w:rsidP="00112083">
      <w:pPr>
        <w:jc w:val="both"/>
        <w:rPr>
          <w:rFonts w:ascii="Arial" w:hAnsi="Arial" w:cs="Arial"/>
        </w:rPr>
      </w:pPr>
    </w:p>
    <w:sectPr w:rsidR="00E528D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0633">
      <w:r>
        <w:separator/>
      </w:r>
    </w:p>
  </w:endnote>
  <w:endnote w:type="continuationSeparator" w:id="0">
    <w:p w:rsidR="00000000" w:rsidRDefault="0044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EF" w:rsidRDefault="007821EF"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821EF" w:rsidRDefault="007821E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EF" w:rsidRDefault="007821EF"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E01BD">
      <w:rPr>
        <w:rStyle w:val="Numrodepage"/>
        <w:noProof/>
      </w:rPr>
      <w:t>2</w:t>
    </w:r>
    <w:r>
      <w:rPr>
        <w:rStyle w:val="Numrodepage"/>
      </w:rPr>
      <w:fldChar w:fldCharType="end"/>
    </w:r>
  </w:p>
  <w:p w:rsidR="007821EF" w:rsidRDefault="007821E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0633">
      <w:r>
        <w:separator/>
      </w:r>
    </w:p>
  </w:footnote>
  <w:footnote w:type="continuationSeparator" w:id="0">
    <w:p w:rsidR="00000000" w:rsidRDefault="00440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0ACE9"/>
    <w:multiLevelType w:val="hybridMultilevel"/>
    <w:tmpl w:val="83724C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91EEA7"/>
    <w:multiLevelType w:val="hybridMultilevel"/>
    <w:tmpl w:val="CE3AF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BD5EE2"/>
    <w:multiLevelType w:val="hybridMultilevel"/>
    <w:tmpl w:val="655C00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0A903F"/>
    <w:multiLevelType w:val="hybridMultilevel"/>
    <w:tmpl w:val="204A6B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AB2D15"/>
    <w:multiLevelType w:val="hybridMultilevel"/>
    <w:tmpl w:val="F863BB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6" w15:restartNumberingAfterBreak="0">
    <w:nsid w:val="06E06CEE"/>
    <w:multiLevelType w:val="multilevel"/>
    <w:tmpl w:val="84C61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F80D43"/>
    <w:multiLevelType w:val="hybridMultilevel"/>
    <w:tmpl w:val="F5427446"/>
    <w:lvl w:ilvl="0" w:tplc="C240BCD0">
      <w:start w:val="1"/>
      <w:numFmt w:val="decimal"/>
      <w:lvlText w:val="%1."/>
      <w:lvlJc w:val="left"/>
      <w:pPr>
        <w:tabs>
          <w:tab w:val="num" w:pos="1428"/>
        </w:tabs>
        <w:ind w:left="1428" w:hanging="360"/>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8"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75A1C15"/>
    <w:multiLevelType w:val="hybridMultilevel"/>
    <w:tmpl w:val="84C612B8"/>
    <w:lvl w:ilvl="0" w:tplc="040C0017">
      <w:start w:val="1"/>
      <w:numFmt w:val="lowerLetter"/>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0AA7"/>
    <w:multiLevelType w:val="hybridMultilevel"/>
    <w:tmpl w:val="D5DAA084"/>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50892A8"/>
    <w:multiLevelType w:val="hybridMultilevel"/>
    <w:tmpl w:val="4BA234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EA36EA2"/>
    <w:multiLevelType w:val="hybridMultilevel"/>
    <w:tmpl w:val="35789C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D62C8"/>
    <w:multiLevelType w:val="hybridMultilevel"/>
    <w:tmpl w:val="B95A31C8"/>
    <w:lvl w:ilvl="0" w:tplc="D72E8466">
      <w:start w:val="1"/>
      <w:numFmt w:val="decimal"/>
      <w:lvlText w:val="%1)"/>
      <w:lvlJc w:val="left"/>
      <w:pPr>
        <w:tabs>
          <w:tab w:val="num" w:pos="1428"/>
        </w:tabs>
        <w:ind w:left="1428" w:hanging="360"/>
      </w:pPr>
      <w:rPr>
        <w:rFonts w:hint="default"/>
      </w:rPr>
    </w:lvl>
    <w:lvl w:ilvl="1" w:tplc="A440DAEA">
      <w:start w:val="1"/>
      <w:numFmt w:val="decimal"/>
      <w:lvlText w:val="%2."/>
      <w:lvlJc w:val="left"/>
      <w:pPr>
        <w:tabs>
          <w:tab w:val="num" w:pos="2148"/>
        </w:tabs>
        <w:ind w:left="2148" w:hanging="360"/>
      </w:pPr>
      <w:rPr>
        <w:rFonts w:hint="default"/>
      </w:rPr>
    </w:lvl>
    <w:lvl w:ilvl="2" w:tplc="34C2553C">
      <w:start w:val="1"/>
      <w:numFmt w:val="lowerLetter"/>
      <w:lvlText w:val="%3)"/>
      <w:lvlJc w:val="left"/>
      <w:pPr>
        <w:tabs>
          <w:tab w:val="num" w:pos="3048"/>
        </w:tabs>
        <w:ind w:left="3048" w:hanging="360"/>
      </w:pPr>
      <w:rPr>
        <w:rFonts w:hint="default"/>
      </w:r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7"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B12D5"/>
    <w:multiLevelType w:val="hybridMultilevel"/>
    <w:tmpl w:val="F1F4C886"/>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CB62632"/>
    <w:multiLevelType w:val="hybridMultilevel"/>
    <w:tmpl w:val="54883E10"/>
    <w:lvl w:ilvl="0" w:tplc="B3E84A8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641FA06"/>
    <w:multiLevelType w:val="hybridMultilevel"/>
    <w:tmpl w:val="4E2BD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A7F0C"/>
    <w:multiLevelType w:val="multilevel"/>
    <w:tmpl w:val="6036639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4C40C3"/>
    <w:multiLevelType w:val="hybridMultilevel"/>
    <w:tmpl w:val="EE781706"/>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66EF3"/>
    <w:multiLevelType w:val="hybridMultilevel"/>
    <w:tmpl w:val="B8A63126"/>
    <w:lvl w:ilvl="0" w:tplc="B944D430">
      <w:start w:val="1"/>
      <w:numFmt w:val="decimal"/>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num w:numId="1">
    <w:abstractNumId w:val="10"/>
  </w:num>
  <w:num w:numId="2">
    <w:abstractNumId w:val="13"/>
  </w:num>
  <w:num w:numId="3">
    <w:abstractNumId w:val="18"/>
  </w:num>
  <w:num w:numId="4">
    <w:abstractNumId w:val="17"/>
  </w:num>
  <w:num w:numId="5">
    <w:abstractNumId w:val="14"/>
  </w:num>
  <w:num w:numId="6">
    <w:abstractNumId w:val="5"/>
  </w:num>
  <w:num w:numId="7">
    <w:abstractNumId w:val="23"/>
  </w:num>
  <w:num w:numId="8">
    <w:abstractNumId w:val="8"/>
  </w:num>
  <w:num w:numId="9">
    <w:abstractNumId w:val="26"/>
  </w:num>
  <w:num w:numId="10">
    <w:abstractNumId w:val="21"/>
  </w:num>
  <w:num w:numId="11">
    <w:abstractNumId w:val="16"/>
  </w:num>
  <w:num w:numId="12">
    <w:abstractNumId w:val="27"/>
  </w:num>
  <w:num w:numId="13">
    <w:abstractNumId w:val="7"/>
  </w:num>
  <w:num w:numId="14">
    <w:abstractNumId w:val="20"/>
  </w:num>
  <w:num w:numId="15">
    <w:abstractNumId w:val="1"/>
  </w:num>
  <w:num w:numId="16">
    <w:abstractNumId w:val="12"/>
  </w:num>
  <w:num w:numId="17">
    <w:abstractNumId w:val="3"/>
  </w:num>
  <w:num w:numId="18">
    <w:abstractNumId w:val="4"/>
  </w:num>
  <w:num w:numId="19">
    <w:abstractNumId w:val="2"/>
  </w:num>
  <w:num w:numId="20">
    <w:abstractNumId w:val="0"/>
  </w:num>
  <w:num w:numId="21">
    <w:abstractNumId w:val="22"/>
  </w:num>
  <w:num w:numId="22">
    <w:abstractNumId w:val="25"/>
  </w:num>
  <w:num w:numId="23">
    <w:abstractNumId w:val="19"/>
  </w:num>
  <w:num w:numId="24">
    <w:abstractNumId w:val="9"/>
  </w:num>
  <w:num w:numId="25">
    <w:abstractNumId w:val="24"/>
  </w:num>
  <w:num w:numId="26">
    <w:abstractNumId w:val="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42E"/>
    <w:rsid w:val="00007AA1"/>
    <w:rsid w:val="0001125F"/>
    <w:rsid w:val="0001644D"/>
    <w:rsid w:val="000171F4"/>
    <w:rsid w:val="00017E22"/>
    <w:rsid w:val="0002172D"/>
    <w:rsid w:val="00022185"/>
    <w:rsid w:val="00030281"/>
    <w:rsid w:val="0003088B"/>
    <w:rsid w:val="000337ED"/>
    <w:rsid w:val="00036BA0"/>
    <w:rsid w:val="00042799"/>
    <w:rsid w:val="00043D3D"/>
    <w:rsid w:val="00046041"/>
    <w:rsid w:val="00050F48"/>
    <w:rsid w:val="00054A1B"/>
    <w:rsid w:val="00055826"/>
    <w:rsid w:val="00055AC2"/>
    <w:rsid w:val="00060B36"/>
    <w:rsid w:val="00060E6A"/>
    <w:rsid w:val="00067CCC"/>
    <w:rsid w:val="00074909"/>
    <w:rsid w:val="00075C7A"/>
    <w:rsid w:val="0008140E"/>
    <w:rsid w:val="000841B1"/>
    <w:rsid w:val="000851CA"/>
    <w:rsid w:val="00087274"/>
    <w:rsid w:val="00087477"/>
    <w:rsid w:val="00087D61"/>
    <w:rsid w:val="000931A7"/>
    <w:rsid w:val="000975CD"/>
    <w:rsid w:val="000A0DD7"/>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0C5B"/>
    <w:rsid w:val="000D20D3"/>
    <w:rsid w:val="000D3A98"/>
    <w:rsid w:val="000D6A0A"/>
    <w:rsid w:val="000E6C67"/>
    <w:rsid w:val="000E6F52"/>
    <w:rsid w:val="000F0224"/>
    <w:rsid w:val="000F0234"/>
    <w:rsid w:val="000F11FE"/>
    <w:rsid w:val="000F311D"/>
    <w:rsid w:val="000F584E"/>
    <w:rsid w:val="000F69EF"/>
    <w:rsid w:val="000F6CFF"/>
    <w:rsid w:val="00103E1C"/>
    <w:rsid w:val="001060F8"/>
    <w:rsid w:val="0010615C"/>
    <w:rsid w:val="001068EA"/>
    <w:rsid w:val="001070DA"/>
    <w:rsid w:val="00112083"/>
    <w:rsid w:val="001125CA"/>
    <w:rsid w:val="00116D72"/>
    <w:rsid w:val="00117B61"/>
    <w:rsid w:val="001227CD"/>
    <w:rsid w:val="001270F3"/>
    <w:rsid w:val="00133A0E"/>
    <w:rsid w:val="00134B60"/>
    <w:rsid w:val="001378D8"/>
    <w:rsid w:val="00144478"/>
    <w:rsid w:val="0014704A"/>
    <w:rsid w:val="001565BB"/>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3DA"/>
    <w:rsid w:val="001929B0"/>
    <w:rsid w:val="00196892"/>
    <w:rsid w:val="001A5299"/>
    <w:rsid w:val="001A6083"/>
    <w:rsid w:val="001B0301"/>
    <w:rsid w:val="001B08C8"/>
    <w:rsid w:val="001B4C17"/>
    <w:rsid w:val="001B526F"/>
    <w:rsid w:val="001B74FA"/>
    <w:rsid w:val="001C15BF"/>
    <w:rsid w:val="001C383D"/>
    <w:rsid w:val="001D0B13"/>
    <w:rsid w:val="001D0B58"/>
    <w:rsid w:val="001D14D0"/>
    <w:rsid w:val="001D270F"/>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17D1A"/>
    <w:rsid w:val="002235C8"/>
    <w:rsid w:val="00224810"/>
    <w:rsid w:val="00225C9B"/>
    <w:rsid w:val="00226D0F"/>
    <w:rsid w:val="00250243"/>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530"/>
    <w:rsid w:val="002B5780"/>
    <w:rsid w:val="002B5E59"/>
    <w:rsid w:val="002B5F8E"/>
    <w:rsid w:val="002C40F6"/>
    <w:rsid w:val="002C62F1"/>
    <w:rsid w:val="002D7D9E"/>
    <w:rsid w:val="002E43AB"/>
    <w:rsid w:val="002E73EE"/>
    <w:rsid w:val="002E7C9A"/>
    <w:rsid w:val="002F1F32"/>
    <w:rsid w:val="002F3813"/>
    <w:rsid w:val="002F435D"/>
    <w:rsid w:val="002F57D7"/>
    <w:rsid w:val="002F78DA"/>
    <w:rsid w:val="003026DE"/>
    <w:rsid w:val="0030697C"/>
    <w:rsid w:val="00310A3D"/>
    <w:rsid w:val="00310FC9"/>
    <w:rsid w:val="003121B6"/>
    <w:rsid w:val="00313011"/>
    <w:rsid w:val="00313CA9"/>
    <w:rsid w:val="00314A9C"/>
    <w:rsid w:val="00315BEA"/>
    <w:rsid w:val="00315EA2"/>
    <w:rsid w:val="00320A0F"/>
    <w:rsid w:val="00320B32"/>
    <w:rsid w:val="003213A8"/>
    <w:rsid w:val="00321D1D"/>
    <w:rsid w:val="00323311"/>
    <w:rsid w:val="00326FB5"/>
    <w:rsid w:val="00332066"/>
    <w:rsid w:val="00332095"/>
    <w:rsid w:val="00332968"/>
    <w:rsid w:val="00333640"/>
    <w:rsid w:val="00337E0B"/>
    <w:rsid w:val="003402FC"/>
    <w:rsid w:val="00342C93"/>
    <w:rsid w:val="00342EF0"/>
    <w:rsid w:val="00344669"/>
    <w:rsid w:val="0034473C"/>
    <w:rsid w:val="003460FE"/>
    <w:rsid w:val="00353D93"/>
    <w:rsid w:val="0035699E"/>
    <w:rsid w:val="00357B4F"/>
    <w:rsid w:val="00362C26"/>
    <w:rsid w:val="00365AE1"/>
    <w:rsid w:val="0037372F"/>
    <w:rsid w:val="00373F64"/>
    <w:rsid w:val="0037508D"/>
    <w:rsid w:val="0037547F"/>
    <w:rsid w:val="003755C1"/>
    <w:rsid w:val="003775EB"/>
    <w:rsid w:val="00377635"/>
    <w:rsid w:val="0038497A"/>
    <w:rsid w:val="00386D2E"/>
    <w:rsid w:val="00386FFF"/>
    <w:rsid w:val="0039108F"/>
    <w:rsid w:val="00392E52"/>
    <w:rsid w:val="00393A2D"/>
    <w:rsid w:val="003A0AA0"/>
    <w:rsid w:val="003A2F59"/>
    <w:rsid w:val="003A31B0"/>
    <w:rsid w:val="003A4B7E"/>
    <w:rsid w:val="003A72B2"/>
    <w:rsid w:val="003B2D0C"/>
    <w:rsid w:val="003B3FD2"/>
    <w:rsid w:val="003B5644"/>
    <w:rsid w:val="003B6BAC"/>
    <w:rsid w:val="003C2424"/>
    <w:rsid w:val="003C3827"/>
    <w:rsid w:val="003C3B56"/>
    <w:rsid w:val="003C4DDC"/>
    <w:rsid w:val="003C50C0"/>
    <w:rsid w:val="003C6185"/>
    <w:rsid w:val="003D0AF4"/>
    <w:rsid w:val="003D363E"/>
    <w:rsid w:val="003E1789"/>
    <w:rsid w:val="003E54EB"/>
    <w:rsid w:val="003F6BD2"/>
    <w:rsid w:val="00400582"/>
    <w:rsid w:val="00400FF9"/>
    <w:rsid w:val="004034C9"/>
    <w:rsid w:val="00410CF3"/>
    <w:rsid w:val="00410DEB"/>
    <w:rsid w:val="004131C8"/>
    <w:rsid w:val="00416674"/>
    <w:rsid w:val="004166CB"/>
    <w:rsid w:val="00421ED7"/>
    <w:rsid w:val="004222C1"/>
    <w:rsid w:val="004227BF"/>
    <w:rsid w:val="004232BE"/>
    <w:rsid w:val="00424DB9"/>
    <w:rsid w:val="0042623A"/>
    <w:rsid w:val="00433062"/>
    <w:rsid w:val="004379CC"/>
    <w:rsid w:val="00440633"/>
    <w:rsid w:val="004425E8"/>
    <w:rsid w:val="0044464C"/>
    <w:rsid w:val="0045024A"/>
    <w:rsid w:val="00452A82"/>
    <w:rsid w:val="00456445"/>
    <w:rsid w:val="00463EAF"/>
    <w:rsid w:val="004649D0"/>
    <w:rsid w:val="00465623"/>
    <w:rsid w:val="00465783"/>
    <w:rsid w:val="00476211"/>
    <w:rsid w:val="00482B50"/>
    <w:rsid w:val="00482F18"/>
    <w:rsid w:val="004A1F72"/>
    <w:rsid w:val="004A40D7"/>
    <w:rsid w:val="004A5553"/>
    <w:rsid w:val="004A6871"/>
    <w:rsid w:val="004A687A"/>
    <w:rsid w:val="004A7722"/>
    <w:rsid w:val="004B7418"/>
    <w:rsid w:val="004C3362"/>
    <w:rsid w:val="004C3CB2"/>
    <w:rsid w:val="004C3CF7"/>
    <w:rsid w:val="004C3DDE"/>
    <w:rsid w:val="004C54AA"/>
    <w:rsid w:val="004C580B"/>
    <w:rsid w:val="004C5D52"/>
    <w:rsid w:val="004C6355"/>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567CC"/>
    <w:rsid w:val="00561E14"/>
    <w:rsid w:val="00563D04"/>
    <w:rsid w:val="00563F56"/>
    <w:rsid w:val="005650B3"/>
    <w:rsid w:val="005706B6"/>
    <w:rsid w:val="00572091"/>
    <w:rsid w:val="005743AC"/>
    <w:rsid w:val="00581F23"/>
    <w:rsid w:val="00582993"/>
    <w:rsid w:val="00587896"/>
    <w:rsid w:val="00587D9B"/>
    <w:rsid w:val="00593A45"/>
    <w:rsid w:val="00596CBB"/>
    <w:rsid w:val="00596FD0"/>
    <w:rsid w:val="00597525"/>
    <w:rsid w:val="005A1D03"/>
    <w:rsid w:val="005A204F"/>
    <w:rsid w:val="005A3BEE"/>
    <w:rsid w:val="005A6994"/>
    <w:rsid w:val="005A6AB7"/>
    <w:rsid w:val="005A6ECE"/>
    <w:rsid w:val="005A784C"/>
    <w:rsid w:val="005B0E2B"/>
    <w:rsid w:val="005B41CF"/>
    <w:rsid w:val="005C11CB"/>
    <w:rsid w:val="005C2F3B"/>
    <w:rsid w:val="005C4C6F"/>
    <w:rsid w:val="005D05EE"/>
    <w:rsid w:val="005D11F5"/>
    <w:rsid w:val="005D21DC"/>
    <w:rsid w:val="005D3117"/>
    <w:rsid w:val="005E4EE7"/>
    <w:rsid w:val="005E5E91"/>
    <w:rsid w:val="005F23A0"/>
    <w:rsid w:val="005F5D74"/>
    <w:rsid w:val="005F7C99"/>
    <w:rsid w:val="00604E2E"/>
    <w:rsid w:val="00605C56"/>
    <w:rsid w:val="00606BEF"/>
    <w:rsid w:val="0060722B"/>
    <w:rsid w:val="006120A8"/>
    <w:rsid w:val="006133BA"/>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54A"/>
    <w:rsid w:val="0066188C"/>
    <w:rsid w:val="00663E7E"/>
    <w:rsid w:val="00663EFB"/>
    <w:rsid w:val="006667FF"/>
    <w:rsid w:val="0067149B"/>
    <w:rsid w:val="00672030"/>
    <w:rsid w:val="006761F2"/>
    <w:rsid w:val="006828E6"/>
    <w:rsid w:val="006846C6"/>
    <w:rsid w:val="00685B73"/>
    <w:rsid w:val="00696300"/>
    <w:rsid w:val="006A5241"/>
    <w:rsid w:val="006A6086"/>
    <w:rsid w:val="006A6972"/>
    <w:rsid w:val="006B0752"/>
    <w:rsid w:val="006B2E11"/>
    <w:rsid w:val="006B47D2"/>
    <w:rsid w:val="006B69BE"/>
    <w:rsid w:val="006B6C65"/>
    <w:rsid w:val="006C126D"/>
    <w:rsid w:val="006C66C8"/>
    <w:rsid w:val="006C6B70"/>
    <w:rsid w:val="006D4151"/>
    <w:rsid w:val="006D5533"/>
    <w:rsid w:val="006E027C"/>
    <w:rsid w:val="006F13A6"/>
    <w:rsid w:val="006F1709"/>
    <w:rsid w:val="006F38E7"/>
    <w:rsid w:val="006F39F6"/>
    <w:rsid w:val="00700132"/>
    <w:rsid w:val="00700C90"/>
    <w:rsid w:val="00710B69"/>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280B"/>
    <w:rsid w:val="00773BC1"/>
    <w:rsid w:val="007821EF"/>
    <w:rsid w:val="0078452E"/>
    <w:rsid w:val="00786786"/>
    <w:rsid w:val="00791290"/>
    <w:rsid w:val="00791FF6"/>
    <w:rsid w:val="00794C2F"/>
    <w:rsid w:val="00794D5D"/>
    <w:rsid w:val="00796310"/>
    <w:rsid w:val="0079777F"/>
    <w:rsid w:val="007A0371"/>
    <w:rsid w:val="007A1F9F"/>
    <w:rsid w:val="007B1494"/>
    <w:rsid w:val="007B23A4"/>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13F"/>
    <w:rsid w:val="00837BA9"/>
    <w:rsid w:val="00843F5D"/>
    <w:rsid w:val="0084428B"/>
    <w:rsid w:val="008455FD"/>
    <w:rsid w:val="00847A6E"/>
    <w:rsid w:val="008537C9"/>
    <w:rsid w:val="00856ED0"/>
    <w:rsid w:val="00860572"/>
    <w:rsid w:val="00861296"/>
    <w:rsid w:val="008621B5"/>
    <w:rsid w:val="00863CDF"/>
    <w:rsid w:val="00871A05"/>
    <w:rsid w:val="00874561"/>
    <w:rsid w:val="008829FE"/>
    <w:rsid w:val="00882A80"/>
    <w:rsid w:val="008865F0"/>
    <w:rsid w:val="00886B8D"/>
    <w:rsid w:val="008915D3"/>
    <w:rsid w:val="0089278C"/>
    <w:rsid w:val="00893338"/>
    <w:rsid w:val="00895971"/>
    <w:rsid w:val="008A22BE"/>
    <w:rsid w:val="008A3114"/>
    <w:rsid w:val="008A4465"/>
    <w:rsid w:val="008A4985"/>
    <w:rsid w:val="008A57DA"/>
    <w:rsid w:val="008A66AF"/>
    <w:rsid w:val="008B0834"/>
    <w:rsid w:val="008B2ADA"/>
    <w:rsid w:val="008B3120"/>
    <w:rsid w:val="008B350E"/>
    <w:rsid w:val="008B3D5A"/>
    <w:rsid w:val="008B41AD"/>
    <w:rsid w:val="008B4B73"/>
    <w:rsid w:val="008C3B9E"/>
    <w:rsid w:val="008C6410"/>
    <w:rsid w:val="008C6C73"/>
    <w:rsid w:val="008D4599"/>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57E39"/>
    <w:rsid w:val="00963107"/>
    <w:rsid w:val="00963956"/>
    <w:rsid w:val="00971CF0"/>
    <w:rsid w:val="0097210C"/>
    <w:rsid w:val="00972B10"/>
    <w:rsid w:val="0097324D"/>
    <w:rsid w:val="009735AC"/>
    <w:rsid w:val="00974CE1"/>
    <w:rsid w:val="00974E1D"/>
    <w:rsid w:val="0098006F"/>
    <w:rsid w:val="0098091B"/>
    <w:rsid w:val="00981088"/>
    <w:rsid w:val="00982BCE"/>
    <w:rsid w:val="00984ECF"/>
    <w:rsid w:val="009866D6"/>
    <w:rsid w:val="0098744A"/>
    <w:rsid w:val="009877A5"/>
    <w:rsid w:val="0099309E"/>
    <w:rsid w:val="00995EF0"/>
    <w:rsid w:val="009A28D9"/>
    <w:rsid w:val="009A4322"/>
    <w:rsid w:val="009A5075"/>
    <w:rsid w:val="009A66C9"/>
    <w:rsid w:val="009A69D4"/>
    <w:rsid w:val="009B5E46"/>
    <w:rsid w:val="009B6619"/>
    <w:rsid w:val="009B7B83"/>
    <w:rsid w:val="009B7C3C"/>
    <w:rsid w:val="009B7F35"/>
    <w:rsid w:val="009C0B7B"/>
    <w:rsid w:val="009C2143"/>
    <w:rsid w:val="009C37BB"/>
    <w:rsid w:val="009D0CF3"/>
    <w:rsid w:val="009D56D7"/>
    <w:rsid w:val="009E36B4"/>
    <w:rsid w:val="009E5635"/>
    <w:rsid w:val="009E5BDA"/>
    <w:rsid w:val="009F40DA"/>
    <w:rsid w:val="009F46D9"/>
    <w:rsid w:val="009F64D1"/>
    <w:rsid w:val="00A00D2F"/>
    <w:rsid w:val="00A12268"/>
    <w:rsid w:val="00A16D6F"/>
    <w:rsid w:val="00A1751A"/>
    <w:rsid w:val="00A179A4"/>
    <w:rsid w:val="00A31E6E"/>
    <w:rsid w:val="00A32689"/>
    <w:rsid w:val="00A3344B"/>
    <w:rsid w:val="00A345ED"/>
    <w:rsid w:val="00A369A8"/>
    <w:rsid w:val="00A43315"/>
    <w:rsid w:val="00A45773"/>
    <w:rsid w:val="00A473D9"/>
    <w:rsid w:val="00A50572"/>
    <w:rsid w:val="00A52AB6"/>
    <w:rsid w:val="00A54282"/>
    <w:rsid w:val="00A56D4E"/>
    <w:rsid w:val="00A6059B"/>
    <w:rsid w:val="00A67515"/>
    <w:rsid w:val="00A7132A"/>
    <w:rsid w:val="00A7419F"/>
    <w:rsid w:val="00A76A35"/>
    <w:rsid w:val="00A81674"/>
    <w:rsid w:val="00A86BF6"/>
    <w:rsid w:val="00A918EC"/>
    <w:rsid w:val="00A93783"/>
    <w:rsid w:val="00A95EA1"/>
    <w:rsid w:val="00A97375"/>
    <w:rsid w:val="00AA17BB"/>
    <w:rsid w:val="00AA4468"/>
    <w:rsid w:val="00AA5592"/>
    <w:rsid w:val="00AB02DA"/>
    <w:rsid w:val="00AB0C7D"/>
    <w:rsid w:val="00AB2411"/>
    <w:rsid w:val="00AB2774"/>
    <w:rsid w:val="00AB6FFF"/>
    <w:rsid w:val="00AC142C"/>
    <w:rsid w:val="00AC3701"/>
    <w:rsid w:val="00AC57F5"/>
    <w:rsid w:val="00AD1BF1"/>
    <w:rsid w:val="00AD2460"/>
    <w:rsid w:val="00AD2B0C"/>
    <w:rsid w:val="00AD4E7C"/>
    <w:rsid w:val="00AE4194"/>
    <w:rsid w:val="00AF0726"/>
    <w:rsid w:val="00AF4272"/>
    <w:rsid w:val="00AF4AE0"/>
    <w:rsid w:val="00AF580F"/>
    <w:rsid w:val="00AF5833"/>
    <w:rsid w:val="00AF5E13"/>
    <w:rsid w:val="00AF762D"/>
    <w:rsid w:val="00B019D8"/>
    <w:rsid w:val="00B032BA"/>
    <w:rsid w:val="00B0719A"/>
    <w:rsid w:val="00B0739F"/>
    <w:rsid w:val="00B12075"/>
    <w:rsid w:val="00B14038"/>
    <w:rsid w:val="00B1458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5093"/>
    <w:rsid w:val="00BD7D3A"/>
    <w:rsid w:val="00BE01BD"/>
    <w:rsid w:val="00BE3D49"/>
    <w:rsid w:val="00BF66D0"/>
    <w:rsid w:val="00BF6E18"/>
    <w:rsid w:val="00C009E8"/>
    <w:rsid w:val="00C0351A"/>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356"/>
    <w:rsid w:val="00CA6808"/>
    <w:rsid w:val="00CB1F64"/>
    <w:rsid w:val="00CB403C"/>
    <w:rsid w:val="00CB75A9"/>
    <w:rsid w:val="00CC03EF"/>
    <w:rsid w:val="00CC1B7B"/>
    <w:rsid w:val="00CC47AB"/>
    <w:rsid w:val="00CC4D5C"/>
    <w:rsid w:val="00CC5E5F"/>
    <w:rsid w:val="00CC6A06"/>
    <w:rsid w:val="00CC7C87"/>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41599"/>
    <w:rsid w:val="00D45283"/>
    <w:rsid w:val="00D47E3B"/>
    <w:rsid w:val="00D5057F"/>
    <w:rsid w:val="00D51944"/>
    <w:rsid w:val="00D54FDB"/>
    <w:rsid w:val="00D558D7"/>
    <w:rsid w:val="00D56950"/>
    <w:rsid w:val="00D60C02"/>
    <w:rsid w:val="00D6148E"/>
    <w:rsid w:val="00D6413E"/>
    <w:rsid w:val="00D64BE7"/>
    <w:rsid w:val="00D65C77"/>
    <w:rsid w:val="00D67666"/>
    <w:rsid w:val="00D7214A"/>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5945"/>
    <w:rsid w:val="00DB64AD"/>
    <w:rsid w:val="00DC0A3D"/>
    <w:rsid w:val="00DC32DB"/>
    <w:rsid w:val="00DD115B"/>
    <w:rsid w:val="00DD1A5D"/>
    <w:rsid w:val="00DD4DBD"/>
    <w:rsid w:val="00DD74A4"/>
    <w:rsid w:val="00DE2AEC"/>
    <w:rsid w:val="00DE31AE"/>
    <w:rsid w:val="00DE4600"/>
    <w:rsid w:val="00DE4DFE"/>
    <w:rsid w:val="00DE61D2"/>
    <w:rsid w:val="00DF07ED"/>
    <w:rsid w:val="00DF3A4C"/>
    <w:rsid w:val="00DF4B87"/>
    <w:rsid w:val="00E00334"/>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28DC"/>
    <w:rsid w:val="00E541A6"/>
    <w:rsid w:val="00E55BC0"/>
    <w:rsid w:val="00E572A2"/>
    <w:rsid w:val="00E57A28"/>
    <w:rsid w:val="00E6120C"/>
    <w:rsid w:val="00E61EFF"/>
    <w:rsid w:val="00E6223E"/>
    <w:rsid w:val="00E62812"/>
    <w:rsid w:val="00E64F50"/>
    <w:rsid w:val="00E65249"/>
    <w:rsid w:val="00E716AA"/>
    <w:rsid w:val="00E8003A"/>
    <w:rsid w:val="00E80587"/>
    <w:rsid w:val="00E861B8"/>
    <w:rsid w:val="00E919D3"/>
    <w:rsid w:val="00E9591B"/>
    <w:rsid w:val="00E979C3"/>
    <w:rsid w:val="00EA2043"/>
    <w:rsid w:val="00EA224C"/>
    <w:rsid w:val="00EA3E69"/>
    <w:rsid w:val="00EB59BA"/>
    <w:rsid w:val="00EB6C92"/>
    <w:rsid w:val="00EC7B9B"/>
    <w:rsid w:val="00ED16FA"/>
    <w:rsid w:val="00ED23AC"/>
    <w:rsid w:val="00ED325B"/>
    <w:rsid w:val="00ED3D44"/>
    <w:rsid w:val="00EE01E2"/>
    <w:rsid w:val="00EE518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5E6B"/>
    <w:rsid w:val="00F465DB"/>
    <w:rsid w:val="00F476CD"/>
    <w:rsid w:val="00F5167B"/>
    <w:rsid w:val="00F573F4"/>
    <w:rsid w:val="00F5743F"/>
    <w:rsid w:val="00F6286C"/>
    <w:rsid w:val="00F63C95"/>
    <w:rsid w:val="00F72C15"/>
    <w:rsid w:val="00F7385B"/>
    <w:rsid w:val="00F77DE9"/>
    <w:rsid w:val="00F81A9B"/>
    <w:rsid w:val="00F862B5"/>
    <w:rsid w:val="00F865A7"/>
    <w:rsid w:val="00F92D29"/>
    <w:rsid w:val="00FA072D"/>
    <w:rsid w:val="00FA345C"/>
    <w:rsid w:val="00FA76AC"/>
    <w:rsid w:val="00FA7CA9"/>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83E2BB-A2DB-44C2-B054-8B7CE3FF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Default">
    <w:name w:val="Default"/>
    <w:rsid w:val="008A22BE"/>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A74FB2-2979-46E6-87F3-4E7DCD4108C4}"/>
</file>

<file path=customXml/itemProps2.xml><?xml version="1.0" encoding="utf-8"?>
<ds:datastoreItem xmlns:ds="http://schemas.openxmlformats.org/officeDocument/2006/customXml" ds:itemID="{CD50272E-F1FB-4D3F-AA8E-62440DD9A4E5}"/>
</file>

<file path=customXml/itemProps3.xml><?xml version="1.0" encoding="utf-8"?>
<ds:datastoreItem xmlns:ds="http://schemas.openxmlformats.org/officeDocument/2006/customXml" ds:itemID="{671A644A-72EA-4936-A248-8CB8A7654E61}"/>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4717</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2008-06-11T14:27:00Z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