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C2" w:rsidRPr="002E7F1C" w:rsidRDefault="006D7DC2" w:rsidP="006D7D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N°</w:t>
      </w:r>
      <w:r w:rsidRPr="002E7F1C">
        <w:rPr>
          <w:rFonts w:ascii="Arial" w:hAnsi="Arial" w:cs="Arial"/>
          <w:b/>
          <w:sz w:val="28"/>
          <w:szCs w:val="28"/>
        </w:rPr>
        <w:t xml:space="preserve"> 5803</w:t>
      </w:r>
    </w:p>
    <w:p w:rsidR="006D7DC2" w:rsidRPr="002E7F1C" w:rsidRDefault="006D7DC2" w:rsidP="006D7DC2">
      <w:pPr>
        <w:jc w:val="center"/>
        <w:rPr>
          <w:rFonts w:ascii="Arial" w:hAnsi="Arial" w:cs="Arial"/>
          <w:sz w:val="22"/>
          <w:szCs w:val="22"/>
        </w:rPr>
      </w:pPr>
    </w:p>
    <w:p w:rsidR="004C0F7F" w:rsidRPr="006D7DC2" w:rsidRDefault="004C0F7F" w:rsidP="004C0F7F">
      <w:pPr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6D7DC2">
        <w:rPr>
          <w:rFonts w:ascii="Arial" w:hAnsi="Arial" w:cs="Arial"/>
          <w:b/>
          <w:sz w:val="22"/>
          <w:szCs w:val="22"/>
          <w:lang w:val="pt-PT"/>
        </w:rPr>
        <w:t>P R O P O S I T I O N    D E   L O I</w:t>
      </w:r>
    </w:p>
    <w:p w:rsidR="004C0F7F" w:rsidRPr="006D7DC2" w:rsidRDefault="004C0F7F" w:rsidP="004C0F7F">
      <w:pPr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C0F7F" w:rsidRPr="002E7F1C" w:rsidRDefault="004C0F7F" w:rsidP="004C0F7F">
      <w:pPr>
        <w:jc w:val="center"/>
        <w:rPr>
          <w:rFonts w:ascii="Arial" w:hAnsi="Arial" w:cs="Arial"/>
          <w:b/>
          <w:sz w:val="22"/>
          <w:szCs w:val="22"/>
        </w:rPr>
      </w:pPr>
      <w:r w:rsidRPr="002E7F1C">
        <w:rPr>
          <w:rFonts w:ascii="Arial" w:hAnsi="Arial" w:cs="Arial"/>
          <w:b/>
          <w:sz w:val="22"/>
          <w:szCs w:val="22"/>
        </w:rPr>
        <w:t xml:space="preserve">portant modification de la loi </w:t>
      </w:r>
      <w:r>
        <w:rPr>
          <w:rFonts w:ascii="Arial" w:hAnsi="Arial" w:cs="Arial"/>
          <w:b/>
          <w:sz w:val="22"/>
          <w:szCs w:val="22"/>
        </w:rPr>
        <w:t xml:space="preserve">électorale </w:t>
      </w:r>
      <w:r w:rsidRPr="002E7F1C">
        <w:rPr>
          <w:rFonts w:ascii="Arial" w:hAnsi="Arial" w:cs="Arial"/>
          <w:b/>
          <w:sz w:val="22"/>
          <w:szCs w:val="22"/>
        </w:rPr>
        <w:t xml:space="preserve">modifiée du </w:t>
      </w:r>
      <w:r>
        <w:rPr>
          <w:rFonts w:ascii="Arial" w:hAnsi="Arial" w:cs="Arial"/>
          <w:b/>
          <w:sz w:val="22"/>
          <w:szCs w:val="22"/>
        </w:rPr>
        <w:t>18 février 2003</w:t>
      </w:r>
    </w:p>
    <w:p w:rsidR="006D7DC2" w:rsidRDefault="006D7DC2" w:rsidP="006D7DC2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4C0F7F" w:rsidRDefault="004C0F7F" w:rsidP="006D7DC2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6D7DC2" w:rsidRDefault="006D7DC2" w:rsidP="006D7DC2">
      <w:pPr>
        <w:jc w:val="center"/>
        <w:rPr>
          <w:rFonts w:ascii="Arial" w:hAnsi="Arial" w:cs="Arial"/>
          <w:sz w:val="22"/>
          <w:szCs w:val="22"/>
        </w:rPr>
      </w:pPr>
    </w:p>
    <w:p w:rsidR="006C0DA4" w:rsidRDefault="006C0DA4" w:rsidP="006C0DA4">
      <w:pPr>
        <w:jc w:val="both"/>
      </w:pPr>
    </w:p>
    <w:p w:rsidR="00255463" w:rsidRPr="00E96A04" w:rsidRDefault="00255463" w:rsidP="00255463">
      <w:pPr>
        <w:jc w:val="center"/>
        <w:rPr>
          <w:b/>
          <w:sz w:val="28"/>
          <w:szCs w:val="28"/>
          <w:u w:val="single"/>
        </w:rPr>
      </w:pPr>
      <w:r w:rsidRPr="00E96A04">
        <w:rPr>
          <w:b/>
          <w:sz w:val="28"/>
          <w:szCs w:val="28"/>
          <w:u w:val="single"/>
        </w:rPr>
        <w:t>Résumé</w:t>
      </w:r>
    </w:p>
    <w:p w:rsidR="006C0DA4" w:rsidRDefault="006C0DA4" w:rsidP="006C0DA4">
      <w:pPr>
        <w:jc w:val="both"/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La législation relative à l’élection directe des représentants luxembourgeois au Parlement européen prévoit que « </w:t>
      </w:r>
      <w:r w:rsidRPr="00DB5DFB">
        <w:rPr>
          <w:rFonts w:ascii="Arial" w:hAnsi="Arial" w:cs="Arial"/>
          <w:i/>
          <w:sz w:val="22"/>
          <w:szCs w:val="22"/>
        </w:rPr>
        <w:t>le nombre des candidats figurant sur une liste ne peut pas dépasser le double du nombre des représentants luxembourgeois siégeant au Parlement européen</w:t>
      </w:r>
      <w:r w:rsidRPr="002E7F1C">
        <w:rPr>
          <w:rFonts w:ascii="Arial" w:hAnsi="Arial" w:cs="Arial"/>
          <w:sz w:val="22"/>
          <w:szCs w:val="22"/>
        </w:rPr>
        <w:t> ».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Le Luxembourg disposant de six sièges au Parlement européen, le nombre des candidats par liste ne peut donc pas dépasser le nombre de douze.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Le nombre élevé de candidats permet aux partis politiques de composer leurs listes électorales en y inscrivant surtout des candidats attirant un maximum de voix.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Toutefois, les candidats élus n’ont souvent pas accepté le mandat qui leur était confié par l’électeur, mais ils ont préféré assumer d’autres fonctions politiques au niveau national ou européen.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Cette façon de procéder a créé un malaise grandissant auprès des électeurs qui, à juste titre, ont critiqué ce comportement des élus.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La proposition de loi a pour objet de modifier les textes de la loi électorale « </w:t>
      </w:r>
      <w:r w:rsidRPr="00DB5DFB">
        <w:rPr>
          <w:rFonts w:ascii="Arial" w:hAnsi="Arial" w:cs="Arial"/>
          <w:i/>
          <w:sz w:val="22"/>
          <w:szCs w:val="22"/>
        </w:rPr>
        <w:t xml:space="preserve">de façon à </w:t>
      </w:r>
      <w:r>
        <w:rPr>
          <w:rFonts w:ascii="Arial" w:hAnsi="Arial" w:cs="Arial"/>
          <w:i/>
          <w:sz w:val="22"/>
          <w:szCs w:val="22"/>
        </w:rPr>
        <w:t>ce</w:t>
      </w:r>
      <w:r w:rsidRPr="00DB5DFB">
        <w:rPr>
          <w:rFonts w:ascii="Arial" w:hAnsi="Arial" w:cs="Arial"/>
          <w:i/>
          <w:sz w:val="22"/>
          <w:szCs w:val="22"/>
        </w:rPr>
        <w:t xml:space="preserve"> que les effets pervers des dernières élections, consistant surtout dans le désistement des premiers élus, soient écartés</w:t>
      </w:r>
      <w:r w:rsidRPr="002E7F1C">
        <w:rPr>
          <w:rFonts w:ascii="Arial" w:hAnsi="Arial" w:cs="Arial"/>
          <w:sz w:val="22"/>
          <w:szCs w:val="22"/>
        </w:rPr>
        <w:t> ».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Pour atteindre cet objectif</w:t>
      </w:r>
      <w:r>
        <w:rPr>
          <w:rFonts w:ascii="Arial" w:hAnsi="Arial" w:cs="Arial"/>
          <w:sz w:val="22"/>
          <w:szCs w:val="22"/>
        </w:rPr>
        <w:t>,</w:t>
      </w:r>
      <w:r w:rsidRPr="002E7F1C">
        <w:rPr>
          <w:rFonts w:ascii="Arial" w:hAnsi="Arial" w:cs="Arial"/>
          <w:sz w:val="22"/>
          <w:szCs w:val="22"/>
        </w:rPr>
        <w:t xml:space="preserve"> deux modifications sont apportées à la législation en vigueur :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réduction du nombre de</w:t>
      </w:r>
      <w:r w:rsidRPr="002E7F1C">
        <w:rPr>
          <w:rFonts w:ascii="Arial" w:hAnsi="Arial" w:cs="Arial"/>
          <w:sz w:val="22"/>
          <w:szCs w:val="22"/>
        </w:rPr>
        <w:t xml:space="preserve"> candidats par liste de douze à six ;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- l’attribution à l’électeur de deux suffrages préférentiels par candidat.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 xml:space="preserve">Une troisième modification écartant la double candidature en cas d’élections conjointes pour la Chambre des Députés et pour le Parlement européen n’a pas été retenue. 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Toutefois, rien n’empêche les partis politiques de mettre cette proposition en application, même sans un texte législatif formel.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Dans sa prise de position, le Gouvernement donne son aval au système envisagé par la proposition de loi</w:t>
      </w:r>
      <w:r>
        <w:rPr>
          <w:rFonts w:ascii="Arial" w:hAnsi="Arial" w:cs="Arial"/>
          <w:sz w:val="22"/>
          <w:szCs w:val="22"/>
        </w:rPr>
        <w:t>,</w:t>
      </w:r>
      <w:r w:rsidRPr="002E7F1C">
        <w:rPr>
          <w:rFonts w:ascii="Arial" w:hAnsi="Arial" w:cs="Arial"/>
          <w:sz w:val="22"/>
          <w:szCs w:val="22"/>
        </w:rPr>
        <w:t xml:space="preserve"> compte tenu du fait que la solution proposée repose sur un accord politique entre les</w:t>
      </w:r>
      <w:r>
        <w:rPr>
          <w:rFonts w:ascii="Arial" w:hAnsi="Arial" w:cs="Arial"/>
          <w:sz w:val="22"/>
          <w:szCs w:val="22"/>
        </w:rPr>
        <w:t xml:space="preserve"> groupes politiques </w:t>
      </w:r>
      <w:r w:rsidRPr="002E7F1C">
        <w:rPr>
          <w:rFonts w:ascii="Arial" w:hAnsi="Arial" w:cs="Arial"/>
          <w:sz w:val="22"/>
          <w:szCs w:val="22"/>
        </w:rPr>
        <w:t>représentés à la Chambre des Députés.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t>Pour le Conseil d'Etat</w:t>
      </w:r>
      <w:r>
        <w:rPr>
          <w:rFonts w:ascii="Arial" w:hAnsi="Arial" w:cs="Arial"/>
          <w:sz w:val="22"/>
          <w:szCs w:val="22"/>
        </w:rPr>
        <w:t>,</w:t>
      </w:r>
      <w:r w:rsidRPr="002E7F1C">
        <w:rPr>
          <w:rFonts w:ascii="Arial" w:hAnsi="Arial" w:cs="Arial"/>
          <w:sz w:val="22"/>
          <w:szCs w:val="22"/>
        </w:rPr>
        <w:t xml:space="preserve"> la solution proposée, qui n’est pas parfaite, a toutefois le double avantage « </w:t>
      </w:r>
      <w:r w:rsidRPr="00DB5DFB">
        <w:rPr>
          <w:rFonts w:ascii="Arial" w:hAnsi="Arial" w:cs="Arial"/>
          <w:i/>
          <w:sz w:val="22"/>
          <w:szCs w:val="22"/>
        </w:rPr>
        <w:t xml:space="preserve">d’avoir été jugée acceptable par les groupes parlementaires au sein de la Chambre des </w:t>
      </w:r>
      <w:r>
        <w:rPr>
          <w:rFonts w:ascii="Arial" w:hAnsi="Arial" w:cs="Arial"/>
          <w:i/>
          <w:sz w:val="22"/>
          <w:szCs w:val="22"/>
        </w:rPr>
        <w:t>d</w:t>
      </w:r>
      <w:r w:rsidRPr="00DB5DFB">
        <w:rPr>
          <w:rFonts w:ascii="Arial" w:hAnsi="Arial" w:cs="Arial"/>
          <w:i/>
          <w:sz w:val="22"/>
          <w:szCs w:val="22"/>
        </w:rPr>
        <w:t>éputés et d’exercer une pression suffisante sur les partis politiques pour les obliger à inscrire sur leur liste de candidats un maximum de candidats dont il est sûr qu’ils accepte</w:t>
      </w:r>
      <w:r>
        <w:rPr>
          <w:rFonts w:ascii="Arial" w:hAnsi="Arial" w:cs="Arial"/>
          <w:i/>
          <w:sz w:val="22"/>
          <w:szCs w:val="22"/>
        </w:rPr>
        <w:t>ront</w:t>
      </w:r>
      <w:r w:rsidRPr="00DB5DFB">
        <w:rPr>
          <w:rFonts w:ascii="Arial" w:hAnsi="Arial" w:cs="Arial"/>
          <w:i/>
          <w:sz w:val="22"/>
          <w:szCs w:val="22"/>
        </w:rPr>
        <w:t xml:space="preserve"> le mandat qui leur sera confié en cas d’élection</w:t>
      </w:r>
      <w:r w:rsidRPr="002E7F1C">
        <w:rPr>
          <w:rFonts w:ascii="Arial" w:hAnsi="Arial" w:cs="Arial"/>
          <w:sz w:val="22"/>
          <w:szCs w:val="22"/>
        </w:rPr>
        <w:t> ».</w:t>
      </w: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</w:p>
    <w:p w:rsidR="004C0F7F" w:rsidRPr="002E7F1C" w:rsidRDefault="004C0F7F" w:rsidP="004C0F7F">
      <w:pPr>
        <w:jc w:val="both"/>
        <w:rPr>
          <w:rFonts w:ascii="Arial" w:hAnsi="Arial" w:cs="Arial"/>
          <w:sz w:val="22"/>
          <w:szCs w:val="22"/>
        </w:rPr>
      </w:pPr>
      <w:r w:rsidRPr="002E7F1C">
        <w:rPr>
          <w:rFonts w:ascii="Arial" w:hAnsi="Arial" w:cs="Arial"/>
          <w:sz w:val="22"/>
          <w:szCs w:val="22"/>
        </w:rPr>
        <w:lastRenderedPageBreak/>
        <w:t>Le Conseil d'Etat souligne encore qu’il faut que « </w:t>
      </w:r>
      <w:r w:rsidRPr="00DB5DFB">
        <w:rPr>
          <w:rFonts w:ascii="Arial" w:hAnsi="Arial" w:cs="Arial"/>
          <w:i/>
          <w:sz w:val="22"/>
          <w:szCs w:val="22"/>
        </w:rPr>
        <w:t>les candidats et les</w:t>
      </w:r>
      <w:r>
        <w:rPr>
          <w:rFonts w:ascii="Arial" w:hAnsi="Arial" w:cs="Arial"/>
          <w:i/>
          <w:sz w:val="22"/>
          <w:szCs w:val="22"/>
        </w:rPr>
        <w:t xml:space="preserve"> partis politiques acceptent de </w:t>
      </w:r>
      <w:r w:rsidRPr="002E7F1C">
        <w:rPr>
          <w:rFonts w:ascii="Arial" w:hAnsi="Arial" w:cs="Arial"/>
          <w:sz w:val="22"/>
          <w:szCs w:val="22"/>
        </w:rPr>
        <w:t>„</w:t>
      </w:r>
      <w:r w:rsidRPr="00DB5DFB">
        <w:rPr>
          <w:rFonts w:ascii="Arial" w:hAnsi="Arial" w:cs="Arial"/>
          <w:i/>
          <w:sz w:val="22"/>
          <w:szCs w:val="22"/>
        </w:rPr>
        <w:t>jouer le jeu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7F1C">
        <w:rPr>
          <w:rFonts w:ascii="Arial" w:hAnsi="Arial" w:cs="Arial"/>
          <w:sz w:val="22"/>
          <w:szCs w:val="22"/>
        </w:rPr>
        <w:t>“ ».</w:t>
      </w:r>
    </w:p>
    <w:p w:rsidR="00255463" w:rsidRDefault="00255463" w:rsidP="00255463">
      <w:pPr>
        <w:jc w:val="both"/>
      </w:pPr>
    </w:p>
    <w:p w:rsidR="006C0DA4" w:rsidRDefault="006C0DA4" w:rsidP="006C0DA4">
      <w:pPr>
        <w:jc w:val="both"/>
      </w:pPr>
    </w:p>
    <w:sectPr w:rsidR="006C0DA4" w:rsidSect="004C0F7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3E8">
      <w:r>
        <w:separator/>
      </w:r>
    </w:p>
  </w:endnote>
  <w:endnote w:type="continuationSeparator" w:id="0">
    <w:p w:rsidR="00000000" w:rsidRDefault="001D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7F" w:rsidRDefault="004C0F7F" w:rsidP="004C0F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0F7F" w:rsidRDefault="004C0F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7F" w:rsidRDefault="004C0F7F" w:rsidP="004C0F7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A730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C0F7F" w:rsidRDefault="004C0F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73E8">
      <w:r>
        <w:separator/>
      </w:r>
    </w:p>
  </w:footnote>
  <w:footnote w:type="continuationSeparator" w:id="0">
    <w:p w:rsidR="00000000" w:rsidRDefault="001D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1D73E8"/>
    <w:rsid w:val="00255463"/>
    <w:rsid w:val="004C0F7F"/>
    <w:rsid w:val="00592DBC"/>
    <w:rsid w:val="006C0DA4"/>
    <w:rsid w:val="006D7DC2"/>
    <w:rsid w:val="00B12F3E"/>
    <w:rsid w:val="00DE45A4"/>
    <w:rsid w:val="00E96A04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682629D-C697-4C7B-98E2-6ABA6E6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4C0F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47EF6C4-2DC6-48F0-AA06-37064F774ED2}"/>
</file>

<file path=customXml/itemProps2.xml><?xml version="1.0" encoding="utf-8"?>
<ds:datastoreItem xmlns:ds="http://schemas.openxmlformats.org/officeDocument/2006/customXml" ds:itemID="{BCFA7443-75C3-4E1F-9957-3ED0BCB43C47}"/>
</file>

<file path=customXml/itemProps3.xml><?xml version="1.0" encoding="utf-8"?>
<ds:datastoreItem xmlns:ds="http://schemas.openxmlformats.org/officeDocument/2006/customXml" ds:itemID="{19C4F27A-7571-4181-8836-082F9747C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dc:description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