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56" w:rsidRPr="00EE066A" w:rsidRDefault="00393A2D" w:rsidP="00EE066A">
      <w:pPr>
        <w:jc w:val="both"/>
        <w:rPr>
          <w:b/>
          <w:lang w:val="fr-LU"/>
        </w:rPr>
      </w:pPr>
      <w:bookmarkStart w:id="0" w:name="_GoBack"/>
      <w:bookmarkEnd w:id="0"/>
      <w:r w:rsidRPr="00EE066A">
        <w:rPr>
          <w:b/>
          <w:lang w:val="fr-LU"/>
        </w:rPr>
        <w:t>Projet de loi</w:t>
      </w:r>
      <w:r w:rsidR="00EE066A">
        <w:rPr>
          <w:b/>
          <w:lang w:val="fr-LU"/>
        </w:rPr>
        <w:t xml:space="preserve"> </w:t>
      </w:r>
      <w:r w:rsidR="00176A7E" w:rsidRPr="00EE066A">
        <w:rPr>
          <w:b/>
          <w:lang w:val="fr-LU"/>
        </w:rPr>
        <w:t>modifiant et complétant la loi modifiée du 12 février 1979 concernant la taxe sur la valeur ajoutée</w:t>
      </w:r>
    </w:p>
    <w:p w:rsidR="0012439F" w:rsidRDefault="0012439F" w:rsidP="00D542CB">
      <w:pPr>
        <w:jc w:val="both"/>
        <w:rPr>
          <w:rFonts w:ascii="Arial" w:hAnsi="Arial" w:cs="Arial"/>
        </w:rPr>
      </w:pPr>
    </w:p>
    <w:p w:rsidR="00D542CB" w:rsidRPr="00EE066A" w:rsidRDefault="00D542CB" w:rsidP="00D542CB">
      <w:pPr>
        <w:jc w:val="both"/>
      </w:pPr>
      <w:r w:rsidRPr="00EE066A">
        <w:t>Le projet de loi sous rubrique prévo</w:t>
      </w:r>
      <w:r w:rsidR="002D2724">
        <w:t>ya</w:t>
      </w:r>
      <w:r w:rsidRPr="00EE066A">
        <w:t xml:space="preserve">it trois </w:t>
      </w:r>
      <w:r w:rsidR="006E68B3" w:rsidRPr="00EE066A">
        <w:t>volets différent</w:t>
      </w:r>
      <w:r w:rsidRPr="00EE066A">
        <w:t>s:</w:t>
      </w:r>
    </w:p>
    <w:p w:rsidR="00D542CB" w:rsidRPr="00EE066A" w:rsidRDefault="00D542CB" w:rsidP="00D542CB">
      <w:pPr>
        <w:jc w:val="both"/>
      </w:pPr>
    </w:p>
    <w:p w:rsidR="00D542CB" w:rsidRPr="00EE066A" w:rsidRDefault="00D542CB" w:rsidP="00D542CB">
      <w:pPr>
        <w:numPr>
          <w:ilvl w:val="0"/>
          <w:numId w:val="34"/>
        </w:numPr>
        <w:jc w:val="both"/>
      </w:pPr>
      <w:r w:rsidRPr="00EE066A">
        <w:t>la transposition de certaines directives européennes;</w:t>
      </w:r>
    </w:p>
    <w:p w:rsidR="00D542CB" w:rsidRPr="00EE066A" w:rsidRDefault="00D542CB" w:rsidP="00D542CB">
      <w:pPr>
        <w:numPr>
          <w:ilvl w:val="0"/>
          <w:numId w:val="34"/>
        </w:numPr>
        <w:jc w:val="both"/>
      </w:pPr>
      <w:r w:rsidRPr="00EE066A">
        <w:t>l’introduction en droit national de la représentation fiscale;</w:t>
      </w:r>
    </w:p>
    <w:p w:rsidR="00D542CB" w:rsidRPr="00EE066A" w:rsidRDefault="00D542CB" w:rsidP="00D542CB">
      <w:pPr>
        <w:numPr>
          <w:ilvl w:val="0"/>
          <w:numId w:val="34"/>
        </w:numPr>
        <w:jc w:val="both"/>
      </w:pPr>
      <w:r w:rsidRPr="00EE066A">
        <w:t>certaines modifications de la législation actuelle au niveau de la procédure d’imposition et de la procédure contentieuse.</w:t>
      </w:r>
    </w:p>
    <w:p w:rsidR="00D542CB" w:rsidRPr="00EE066A" w:rsidRDefault="00D542CB" w:rsidP="00D542CB">
      <w:pPr>
        <w:jc w:val="both"/>
      </w:pPr>
    </w:p>
    <w:p w:rsidR="008739B1" w:rsidRPr="00EE066A" w:rsidRDefault="002D2724" w:rsidP="008739B1">
      <w:pPr>
        <w:jc w:val="both"/>
      </w:pPr>
      <w:r>
        <w:t xml:space="preserve">1. </w:t>
      </w:r>
      <w:r w:rsidR="00981356" w:rsidRPr="00EE066A">
        <w:t>La</w:t>
      </w:r>
      <w:r w:rsidR="00EF2B5A" w:rsidRPr="00EE066A">
        <w:t xml:space="preserve"> </w:t>
      </w:r>
      <w:r w:rsidR="00EF2B5A" w:rsidRPr="00EE066A">
        <w:rPr>
          <w:u w:val="single"/>
        </w:rPr>
        <w:t xml:space="preserve">directive </w:t>
      </w:r>
      <w:r w:rsidR="00981356" w:rsidRPr="00EE066A">
        <w:rPr>
          <w:u w:val="single"/>
        </w:rPr>
        <w:t>2006/98/CE</w:t>
      </w:r>
      <w:r w:rsidR="00981356" w:rsidRPr="00EE066A">
        <w:t xml:space="preserve"> </w:t>
      </w:r>
      <w:r w:rsidR="00EF2B5A" w:rsidRPr="00EE066A">
        <w:t xml:space="preserve">nécessite une modification de l’art. 90ter de la loi sur la TVA du fait de l’adhésion de la Bulgarie et de la Roumanie à l’Union </w:t>
      </w:r>
      <w:r w:rsidR="00981356" w:rsidRPr="00EE066A">
        <w:t>e</w:t>
      </w:r>
      <w:r w:rsidR="00EF2B5A" w:rsidRPr="00EE066A">
        <w:t>uropéenne à partir du 1</w:t>
      </w:r>
      <w:r w:rsidR="00EF2B5A" w:rsidRPr="00EE066A">
        <w:rPr>
          <w:vertAlign w:val="superscript"/>
        </w:rPr>
        <w:t>er</w:t>
      </w:r>
      <w:r w:rsidR="00EF2B5A" w:rsidRPr="00EE066A">
        <w:t xml:space="preserve"> janvier 2007. Cet article prévoit des mesures transitoires pour les biens</w:t>
      </w:r>
      <w:r w:rsidR="00981356" w:rsidRPr="00EE066A">
        <w:t xml:space="preserve"> en provenance de ces deux pays</w:t>
      </w:r>
      <w:r w:rsidR="00EF2B5A" w:rsidRPr="00EE066A">
        <w:t xml:space="preserve"> qui avant l’adhésion à l’U</w:t>
      </w:r>
      <w:r w:rsidR="00981356" w:rsidRPr="00EE066A">
        <w:t>nion européenne</w:t>
      </w:r>
      <w:r w:rsidR="00EF2B5A" w:rsidRPr="00EE066A">
        <w:t xml:space="preserve"> relevaient d’un </w:t>
      </w:r>
      <w:r w:rsidR="00981356" w:rsidRPr="00EE066A">
        <w:t xml:space="preserve">autre </w:t>
      </w:r>
      <w:r w:rsidR="00EF2B5A" w:rsidRPr="00EE066A">
        <w:t>régime douanier</w:t>
      </w:r>
      <w:r w:rsidR="00981356" w:rsidRPr="00EE066A">
        <w:t>.</w:t>
      </w:r>
      <w:r w:rsidR="00EF2B5A" w:rsidRPr="00EE066A">
        <w:t xml:space="preserve"> </w:t>
      </w:r>
      <w:r w:rsidR="00981356" w:rsidRPr="00EE066A">
        <w:t xml:space="preserve">Les </w:t>
      </w:r>
      <w:r w:rsidR="00EF2B5A" w:rsidRPr="00EE066A">
        <w:t xml:space="preserve">mesures devraient éviter une non imposition </w:t>
      </w:r>
      <w:r w:rsidR="00981356" w:rsidRPr="00EE066A">
        <w:t xml:space="preserve">ou une double imposition de ces biens. </w:t>
      </w:r>
      <w:r w:rsidR="008739B1" w:rsidRPr="00EE066A">
        <w:t>Elles ont une portée strictement délimitée tant par leur nature que dans le temps.</w:t>
      </w:r>
    </w:p>
    <w:p w:rsidR="00C712EC" w:rsidRPr="002D2724" w:rsidRDefault="00C712EC" w:rsidP="00981356">
      <w:pPr>
        <w:jc w:val="both"/>
      </w:pPr>
    </w:p>
    <w:p w:rsidR="00EF2B5A" w:rsidRPr="002D2724" w:rsidRDefault="00A207AE" w:rsidP="00EF2B5A">
      <w:pPr>
        <w:autoSpaceDE w:val="0"/>
        <w:autoSpaceDN w:val="0"/>
        <w:adjustRightInd w:val="0"/>
        <w:jc w:val="both"/>
      </w:pPr>
      <w:r w:rsidRPr="002D2724">
        <w:t>La</w:t>
      </w:r>
      <w:r w:rsidR="00EF2B5A" w:rsidRPr="002D2724">
        <w:t xml:space="preserve"> </w:t>
      </w:r>
      <w:r w:rsidR="00EF2B5A" w:rsidRPr="002D2724">
        <w:rPr>
          <w:u w:val="single"/>
        </w:rPr>
        <w:t xml:space="preserve">directive </w:t>
      </w:r>
      <w:r w:rsidRPr="002D2724">
        <w:rPr>
          <w:u w:val="single"/>
        </w:rPr>
        <w:t>2006/69/CE</w:t>
      </w:r>
      <w:r w:rsidRPr="002D2724">
        <w:t xml:space="preserve"> </w:t>
      </w:r>
      <w:r w:rsidR="00EF2B5A" w:rsidRPr="002D2724">
        <w:t>comporte deux volets.</w:t>
      </w:r>
      <w:r w:rsidRPr="002D2724">
        <w:t xml:space="preserve"> </w:t>
      </w:r>
      <w:r w:rsidR="00EF2B5A" w:rsidRPr="002D2724">
        <w:t>Un premier volet concernant une nouvelle définition de la valeur normale qui doit être obligatoirement transmis en droit national pour le 1</w:t>
      </w:r>
      <w:r w:rsidR="00EF2B5A" w:rsidRPr="002D2724">
        <w:rPr>
          <w:vertAlign w:val="superscript"/>
        </w:rPr>
        <w:t>er</w:t>
      </w:r>
      <w:r w:rsidRPr="002D2724">
        <w:t xml:space="preserve"> janvier 2008</w:t>
      </w:r>
      <w:r w:rsidR="00EF2B5A" w:rsidRPr="002D2724">
        <w:t>. Un second volet autorise les Etats membres à prendre</w:t>
      </w:r>
      <w:r w:rsidR="007942E7" w:rsidRPr="002D2724">
        <w:t xml:space="preserve"> entre autres</w:t>
      </w:r>
      <w:r w:rsidR="00EF2B5A" w:rsidRPr="002D2724">
        <w:t xml:space="preserve">, dans certains cas spécifiques limités, comme base d’imposition d’une livraison de marchandises ou d’une prestation de services la valeur normale au lieu de la rémunération effective (prix d’achat, prix de revient, dépenses engagées), ceci afin d’éviter la fraude fiscale et par conséquent une perte de recettes fiscales dans ces cas bien déterminés. </w:t>
      </w:r>
    </w:p>
    <w:p w:rsidR="00EF2B5A" w:rsidRPr="00A207AE" w:rsidRDefault="00EF2B5A" w:rsidP="00EF2B5A">
      <w:pPr>
        <w:autoSpaceDE w:val="0"/>
        <w:autoSpaceDN w:val="0"/>
        <w:adjustRightInd w:val="0"/>
        <w:jc w:val="both"/>
        <w:rPr>
          <w:rFonts w:ascii="Arial" w:hAnsi="Arial" w:cs="Arial"/>
        </w:rPr>
      </w:pPr>
    </w:p>
    <w:p w:rsidR="00EF2B5A" w:rsidRPr="002D2724" w:rsidRDefault="00EF2B5A" w:rsidP="00EF2B5A">
      <w:pPr>
        <w:autoSpaceDE w:val="0"/>
        <w:autoSpaceDN w:val="0"/>
        <w:adjustRightInd w:val="0"/>
        <w:jc w:val="both"/>
      </w:pPr>
      <w:r w:rsidRPr="002D2724">
        <w:t>Le projet de loi prévoyait la transposition en d</w:t>
      </w:r>
      <w:r w:rsidR="00863E73" w:rsidRPr="002D2724">
        <w:t>roit national</w:t>
      </w:r>
      <w:r w:rsidRPr="002D2724">
        <w:t xml:space="preserve"> des deux volets de la directive. La Commission des Finances et du Budget a cepe</w:t>
      </w:r>
      <w:r w:rsidR="00EB4353" w:rsidRPr="002D2724">
        <w:t>ndant décidé, avec l’accord du G</w:t>
      </w:r>
      <w:r w:rsidR="002D2724" w:rsidRPr="002D2724">
        <w:t xml:space="preserve">ouvernement, de supprimer </w:t>
      </w:r>
      <w:r w:rsidR="002D2724">
        <w:t>le deuxième volet</w:t>
      </w:r>
      <w:r w:rsidRPr="002D2724">
        <w:t>.</w:t>
      </w:r>
      <w:r w:rsidR="00C85E93" w:rsidRPr="002D2724">
        <w:t xml:space="preserve"> En effet, l</w:t>
      </w:r>
      <w:r w:rsidR="00863E73" w:rsidRPr="002D2724">
        <w:t xml:space="preserve">e </w:t>
      </w:r>
      <w:r w:rsidR="00EB4353" w:rsidRPr="002D2724">
        <w:t>G</w:t>
      </w:r>
      <w:r w:rsidR="00863E73" w:rsidRPr="002D2724">
        <w:t>ouvernement a</w:t>
      </w:r>
      <w:r w:rsidRPr="002D2724">
        <w:t xml:space="preserve"> informé la Commission </w:t>
      </w:r>
      <w:r w:rsidR="00C85E93" w:rsidRPr="002D2724">
        <w:t xml:space="preserve">d’une part, </w:t>
      </w:r>
      <w:r w:rsidRPr="002D2724">
        <w:t xml:space="preserve">du fait qu’une proposition de directive </w:t>
      </w:r>
      <w:r w:rsidRPr="002D2724">
        <w:rPr>
          <w:bCs/>
          <w:iCs/>
        </w:rPr>
        <w:t>visant à moderniser et à simplifier les règles complexes applicables à la TVA des services financiers et des services d'assurance</w:t>
      </w:r>
      <w:r w:rsidRPr="002D2724">
        <w:t xml:space="preserve"> a été déposée par la Commission européenne fin 2007</w:t>
      </w:r>
      <w:r w:rsidR="00C85E93" w:rsidRPr="002D2724">
        <w:t>, et</w:t>
      </w:r>
      <w:r w:rsidR="00D64290" w:rsidRPr="002D2724">
        <w:t>,</w:t>
      </w:r>
      <w:r w:rsidRPr="002D2724">
        <w:t xml:space="preserve"> </w:t>
      </w:r>
      <w:r w:rsidR="00C85E93" w:rsidRPr="002D2724">
        <w:t>d</w:t>
      </w:r>
      <w:r w:rsidRPr="002D2724">
        <w:t>’autre part, que la Commission européenne vient d’annoncer qu’elle proposerait de nouvelles mesures contre la</w:t>
      </w:r>
      <w:r w:rsidR="00A207AE" w:rsidRPr="002D2724">
        <w:t xml:space="preserve"> fraude à la TVA début 2008.</w:t>
      </w:r>
    </w:p>
    <w:p w:rsidR="00EF2B5A" w:rsidRPr="002D2724" w:rsidRDefault="00EF2B5A" w:rsidP="00EF2B5A">
      <w:pPr>
        <w:jc w:val="both"/>
      </w:pPr>
    </w:p>
    <w:p w:rsidR="00EF2B5A" w:rsidRPr="002D2724" w:rsidRDefault="00EF2B5A" w:rsidP="00EF2B5A">
      <w:pPr>
        <w:jc w:val="both"/>
      </w:pPr>
      <w:r w:rsidRPr="002D2724">
        <w:t>Au vu des ces informations, la Commission des Finances et du Budget estime préférable d’attendre la transposition de la directive et des mesures annoncées pour introduire la disposition sus-mentionnée en droit national</w:t>
      </w:r>
      <w:r w:rsidR="009C79B3" w:rsidRPr="002D2724">
        <w:t xml:space="preserve"> (amendement parlementaire)</w:t>
      </w:r>
      <w:r w:rsidRPr="002D2724">
        <w:t xml:space="preserve">. </w:t>
      </w:r>
    </w:p>
    <w:p w:rsidR="0009445F" w:rsidRDefault="0009445F" w:rsidP="00112083">
      <w:pPr>
        <w:jc w:val="both"/>
        <w:rPr>
          <w:rFonts w:ascii="Arial" w:hAnsi="Arial" w:cs="Arial"/>
        </w:rPr>
      </w:pPr>
    </w:p>
    <w:p w:rsidR="002807B7" w:rsidRPr="002D2724" w:rsidRDefault="002807B7" w:rsidP="002807B7">
      <w:pPr>
        <w:autoSpaceDE w:val="0"/>
        <w:autoSpaceDN w:val="0"/>
        <w:adjustRightInd w:val="0"/>
        <w:jc w:val="both"/>
        <w:rPr>
          <w:color w:val="000000"/>
        </w:rPr>
      </w:pPr>
      <w:r w:rsidRPr="002D2724">
        <w:rPr>
          <w:color w:val="000000"/>
        </w:rPr>
        <w:t xml:space="preserve">La </w:t>
      </w:r>
      <w:r w:rsidRPr="002D2724">
        <w:rPr>
          <w:color w:val="000000"/>
          <w:u w:val="single"/>
        </w:rPr>
        <w:t>directive 2006/112/CE</w:t>
      </w:r>
      <w:r w:rsidRPr="002D2724">
        <w:rPr>
          <w:color w:val="000000"/>
        </w:rPr>
        <w:t xml:space="preserve"> relative au système commun de taxe sur la valeur ajoutée (directive TVA) abroge et remplace les 1</w:t>
      </w:r>
      <w:r w:rsidRPr="002D2724">
        <w:rPr>
          <w:color w:val="000000"/>
          <w:vertAlign w:val="superscript"/>
        </w:rPr>
        <w:t>ère</w:t>
      </w:r>
      <w:r w:rsidRPr="002D2724">
        <w:rPr>
          <w:color w:val="000000"/>
        </w:rPr>
        <w:t xml:space="preserve"> et 6</w:t>
      </w:r>
      <w:r w:rsidRPr="002D2724">
        <w:rPr>
          <w:color w:val="000000"/>
          <w:vertAlign w:val="superscript"/>
        </w:rPr>
        <w:t>e</w:t>
      </w:r>
      <w:r w:rsidRPr="002D2724">
        <w:rPr>
          <w:color w:val="000000"/>
        </w:rPr>
        <w:t xml:space="preserve"> directives. </w:t>
      </w:r>
      <w:r w:rsidR="009B11C8" w:rsidRPr="002D2724">
        <w:rPr>
          <w:color w:val="000000"/>
        </w:rPr>
        <w:t>Même si e</w:t>
      </w:r>
      <w:r w:rsidRPr="002D2724">
        <w:rPr>
          <w:color w:val="000000"/>
        </w:rPr>
        <w:t>lle constitue une refonte des règles de la TVA communautaire</w:t>
      </w:r>
      <w:r w:rsidR="009B11C8" w:rsidRPr="002D2724">
        <w:rPr>
          <w:color w:val="000000"/>
        </w:rPr>
        <w:t>, e</w:t>
      </w:r>
      <w:r w:rsidRPr="002D2724">
        <w:rPr>
          <w:color w:val="000000"/>
        </w:rPr>
        <w:t>lle ne nécessite pas, sauf quelques exceptions, de mesures d’</w:t>
      </w:r>
      <w:r w:rsidR="009B11C8" w:rsidRPr="002D2724">
        <w:rPr>
          <w:color w:val="000000"/>
        </w:rPr>
        <w:t>adaptation ou de transposition.</w:t>
      </w:r>
    </w:p>
    <w:p w:rsidR="009B11C8" w:rsidRPr="002D2724" w:rsidRDefault="009B11C8" w:rsidP="002807B7">
      <w:pPr>
        <w:autoSpaceDE w:val="0"/>
        <w:autoSpaceDN w:val="0"/>
        <w:adjustRightInd w:val="0"/>
        <w:jc w:val="both"/>
        <w:rPr>
          <w:color w:val="000000"/>
        </w:rPr>
      </w:pPr>
    </w:p>
    <w:p w:rsidR="00FA441B" w:rsidRPr="002D2724" w:rsidRDefault="002D2724" w:rsidP="00FA441B">
      <w:pPr>
        <w:jc w:val="both"/>
      </w:pPr>
      <w:r w:rsidRPr="002D2724">
        <w:t xml:space="preserve">2. </w:t>
      </w:r>
      <w:r w:rsidR="00FA441B" w:rsidRPr="002D2724">
        <w:t xml:space="preserve">Le Gouvernement a fait procéder à une étude sur la valorisation économique du fret aérien transitant par le </w:t>
      </w:r>
      <w:r w:rsidR="00C85E93" w:rsidRPr="002D2724">
        <w:t>Grand-Duché</w:t>
      </w:r>
      <w:r w:rsidR="00FA441B" w:rsidRPr="002D2724">
        <w:t xml:space="preserve"> et sur le ciblage d’opportunités de développement d’activités logistiques associées (étude réalisée par PriceWaterhouseCoopers en 2005). La conclusion tirée de cette étude est que les services logistiques, en particulier ceux à valeur ajoutée, constituent une opportunité de développement et de valorisation économique du fret aérien actuel dans un contexte international favorable mais très concurrentiel. Il a cependant été reconnu nécessaire de supprimer certaines barrières. En particulier, l’absence du système de </w:t>
      </w:r>
      <w:r w:rsidR="00FA441B" w:rsidRPr="002D2724">
        <w:lastRenderedPageBreak/>
        <w:t>représentation fiscale en matière de TVA pour les assujettis établis en dehors de l’Union européenne est apparue comme constituant un frein au développement du secteur de la logistique dans le domaine du fret aérien. Ce régime existe dans les principaux pays voisins actifs dans le domaine de la logistique, en particulier l'Allemagne, la Belgique et les Pays-Bas.</w:t>
      </w:r>
    </w:p>
    <w:p w:rsidR="00FA441B" w:rsidRPr="002D2724" w:rsidRDefault="00FA441B" w:rsidP="00FA441B">
      <w:pPr>
        <w:jc w:val="both"/>
      </w:pPr>
    </w:p>
    <w:p w:rsidR="007A5F7F" w:rsidRPr="002D2724" w:rsidRDefault="00FA441B" w:rsidP="00112083">
      <w:pPr>
        <w:jc w:val="both"/>
      </w:pPr>
      <w:r w:rsidRPr="002D2724">
        <w:rPr>
          <w:color w:val="000000"/>
        </w:rPr>
        <w:t xml:space="preserve">L’article V du présent projet de loi a donc pour objet d’introduire un </w:t>
      </w:r>
      <w:r w:rsidRPr="002D2724">
        <w:rPr>
          <w:color w:val="000000"/>
          <w:u w:val="single"/>
        </w:rPr>
        <w:t>système de</w:t>
      </w:r>
      <w:r w:rsidR="007A5F7F" w:rsidRPr="002D2724">
        <w:rPr>
          <w:u w:val="single"/>
        </w:rPr>
        <w:t xml:space="preserve"> représentation fiscale</w:t>
      </w:r>
      <w:r w:rsidR="007A5F7F" w:rsidRPr="002D2724">
        <w:t xml:space="preserve"> au sens de l'article 204 de la directive 2006/112/CE relative au système commun de taxe sur la valeur ajoutée en matière d'importation de biens en provenance d'Etats ou de territoires tiers et pour les livraisons subséquentes de ces biens. </w:t>
      </w:r>
      <w:r w:rsidR="00DE4657" w:rsidRPr="002D2724">
        <w:t xml:space="preserve">La représentation fiscale est un régime par lequel un assujetti établi à l'étranger désigne une personne tierce qui s'engage à remplir les formalités en matière de TVA lui incombant et à acquitter la taxe </w:t>
      </w:r>
      <w:r w:rsidR="005864A3" w:rsidRPr="002D2724">
        <w:t xml:space="preserve">due </w:t>
      </w:r>
      <w:r w:rsidR="00DE4657" w:rsidRPr="002D2724">
        <w:t>à sa place.</w:t>
      </w:r>
    </w:p>
    <w:p w:rsidR="007A5F7F" w:rsidRDefault="007A5F7F" w:rsidP="00112083">
      <w:pPr>
        <w:jc w:val="both"/>
      </w:pPr>
    </w:p>
    <w:p w:rsidR="00184386" w:rsidRPr="004D7A64" w:rsidRDefault="002D2724" w:rsidP="00E82A36">
      <w:pPr>
        <w:jc w:val="both"/>
      </w:pPr>
      <w:r w:rsidRPr="004D7A64">
        <w:t xml:space="preserve">3. </w:t>
      </w:r>
      <w:r w:rsidR="00184386" w:rsidRPr="004D7A64">
        <w:t>Compte tenu des délais impartis en raison de la transposition des directives à transposer, le Conseil d'Etat était dans l'impossibilité de procéder à un examen exhaustif de tous les tenants et aboutiss</w:t>
      </w:r>
      <w:r w:rsidR="005051C3">
        <w:t>ant</w:t>
      </w:r>
      <w:r w:rsidR="00184386" w:rsidRPr="004D7A64">
        <w:t xml:space="preserve">s des modifications procédurales soulevant des questions au niveau du contentieux et donc des droits des assujettis. Il s'en suit que le Conseil d'Etat </w:t>
      </w:r>
      <w:r w:rsidR="004D7A64" w:rsidRPr="004D7A64">
        <w:t xml:space="preserve">a </w:t>
      </w:r>
      <w:r w:rsidR="00184386" w:rsidRPr="004D7A64">
        <w:t>propos</w:t>
      </w:r>
      <w:r w:rsidR="004D7A64" w:rsidRPr="004D7A64">
        <w:t>é</w:t>
      </w:r>
      <w:r w:rsidR="00184386" w:rsidRPr="004D7A64">
        <w:t xml:space="preserve"> le </w:t>
      </w:r>
      <w:r w:rsidR="00184386" w:rsidRPr="004D7A64">
        <w:rPr>
          <w:u w:val="single"/>
        </w:rPr>
        <w:t xml:space="preserve">retrait </w:t>
      </w:r>
      <w:r w:rsidR="00184386" w:rsidRPr="004D7A64">
        <w:t>de l'article VI – sous peine d'opposition formelle – et sa reproduction dans un projet de loi spécifique.</w:t>
      </w:r>
    </w:p>
    <w:p w:rsidR="00184386" w:rsidRPr="004D7A64" w:rsidRDefault="00184386" w:rsidP="00E82A36">
      <w:pPr>
        <w:jc w:val="both"/>
      </w:pPr>
    </w:p>
    <w:p w:rsidR="00E82A36" w:rsidRPr="004D7A64" w:rsidRDefault="00184386" w:rsidP="00E82A36">
      <w:pPr>
        <w:jc w:val="both"/>
        <w:rPr>
          <w:lang w:val="fr-CH"/>
        </w:rPr>
      </w:pPr>
      <w:r w:rsidRPr="004D7A64">
        <w:rPr>
          <w:lang w:val="fr-CH"/>
        </w:rPr>
        <w:t>L</w:t>
      </w:r>
      <w:r w:rsidR="00E82A36" w:rsidRPr="004D7A64">
        <w:rPr>
          <w:lang w:val="fr-CH"/>
        </w:rPr>
        <w:t>a Commission des Finances et du Budget s</w:t>
      </w:r>
      <w:r w:rsidR="004D7A64" w:rsidRPr="004D7A64">
        <w:rPr>
          <w:lang w:val="fr-CH"/>
        </w:rPr>
        <w:t>’est</w:t>
      </w:r>
      <w:r w:rsidR="00E82A36" w:rsidRPr="004D7A64">
        <w:rPr>
          <w:lang w:val="fr-CH"/>
        </w:rPr>
        <w:t xml:space="preserve"> ralli</w:t>
      </w:r>
      <w:r w:rsidR="004D7A64" w:rsidRPr="004D7A64">
        <w:rPr>
          <w:lang w:val="fr-CH"/>
        </w:rPr>
        <w:t>ée</w:t>
      </w:r>
      <w:r w:rsidR="00E82A36" w:rsidRPr="004D7A64">
        <w:rPr>
          <w:lang w:val="fr-CH"/>
        </w:rPr>
        <w:t xml:space="preserve"> aux considérations du Conseil d’Etat</w:t>
      </w:r>
      <w:r w:rsidRPr="004D7A64">
        <w:rPr>
          <w:lang w:val="fr-CH"/>
        </w:rPr>
        <w:t xml:space="preserve"> et </w:t>
      </w:r>
      <w:r w:rsidR="004D7A64" w:rsidRPr="004D7A64">
        <w:rPr>
          <w:lang w:val="fr-CH"/>
        </w:rPr>
        <w:t xml:space="preserve">a </w:t>
      </w:r>
      <w:r w:rsidR="00A5701C">
        <w:rPr>
          <w:lang w:val="fr-CH"/>
        </w:rPr>
        <w:t xml:space="preserve">procédé à la </w:t>
      </w:r>
      <w:r w:rsidR="004D7A64" w:rsidRPr="004D7A64">
        <w:rPr>
          <w:lang w:val="fr-CH"/>
        </w:rPr>
        <w:t>suppr</w:t>
      </w:r>
      <w:r w:rsidR="00A5701C">
        <w:rPr>
          <w:lang w:val="fr-CH"/>
        </w:rPr>
        <w:t>ession de</w:t>
      </w:r>
      <w:r w:rsidRPr="004D7A64">
        <w:rPr>
          <w:lang w:val="fr-CH"/>
        </w:rPr>
        <w:t xml:space="preserve"> l'article VI. </w:t>
      </w:r>
    </w:p>
    <w:sectPr w:rsidR="00E82A36" w:rsidRPr="004D7A64"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1C33">
      <w:r>
        <w:separator/>
      </w:r>
    </w:p>
  </w:endnote>
  <w:endnote w:type="continuationSeparator" w:id="0">
    <w:p w:rsidR="00000000" w:rsidRDefault="00AE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1C" w:rsidRDefault="00A5701C"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5701C" w:rsidRDefault="00A5701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1C" w:rsidRDefault="00A5701C"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E5929">
      <w:rPr>
        <w:rStyle w:val="Numrodepage"/>
        <w:noProof/>
      </w:rPr>
      <w:t>2</w:t>
    </w:r>
    <w:r>
      <w:rPr>
        <w:rStyle w:val="Numrodepage"/>
      </w:rPr>
      <w:fldChar w:fldCharType="end"/>
    </w:r>
  </w:p>
  <w:p w:rsidR="00A5701C" w:rsidRDefault="00A5701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1C33">
      <w:r>
        <w:separator/>
      </w:r>
    </w:p>
  </w:footnote>
  <w:footnote w:type="continuationSeparator" w:id="0">
    <w:p w:rsidR="00000000" w:rsidRDefault="00AE1C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8AB2ED"/>
    <w:multiLevelType w:val="hybridMultilevel"/>
    <w:tmpl w:val="50F39F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43961F"/>
    <w:multiLevelType w:val="hybridMultilevel"/>
    <w:tmpl w:val="95ABE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ECEA42"/>
    <w:multiLevelType w:val="hybridMultilevel"/>
    <w:tmpl w:val="E35A6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D49AA0"/>
    <w:multiLevelType w:val="hybridMultilevel"/>
    <w:tmpl w:val="72216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7B0F56E"/>
    <w:multiLevelType w:val="hybridMultilevel"/>
    <w:tmpl w:val="A52054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0B6443"/>
    <w:multiLevelType w:val="hybridMultilevel"/>
    <w:tmpl w:val="28C0A1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7" w15:restartNumberingAfterBreak="0">
    <w:nsid w:val="092D4B6C"/>
    <w:multiLevelType w:val="hybridMultilevel"/>
    <w:tmpl w:val="0B5B03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C3654F"/>
    <w:multiLevelType w:val="hybridMultilevel"/>
    <w:tmpl w:val="98B26B30"/>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0FD1D603"/>
    <w:multiLevelType w:val="hybridMultilevel"/>
    <w:tmpl w:val="25497C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D3557C"/>
    <w:multiLevelType w:val="hybridMultilevel"/>
    <w:tmpl w:val="1B84DF3C"/>
    <w:lvl w:ilvl="0" w:tplc="6BB8F85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D83C0"/>
    <w:multiLevelType w:val="hybridMultilevel"/>
    <w:tmpl w:val="BDA8A0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7C3399"/>
    <w:multiLevelType w:val="hybridMultilevel"/>
    <w:tmpl w:val="FA73C2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4D81902"/>
    <w:multiLevelType w:val="hybridMultilevel"/>
    <w:tmpl w:val="58D4A3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02EA27"/>
    <w:multiLevelType w:val="hybridMultilevel"/>
    <w:tmpl w:val="B9E01F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2F20B99"/>
    <w:multiLevelType w:val="hybridMultilevel"/>
    <w:tmpl w:val="41BE85BC"/>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E421286"/>
    <w:multiLevelType w:val="hybridMultilevel"/>
    <w:tmpl w:val="AD43B1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837EC1"/>
    <w:multiLevelType w:val="hybridMultilevel"/>
    <w:tmpl w:val="DEF4D3DC"/>
    <w:lvl w:ilvl="0" w:tplc="15BE5D8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35BF0"/>
    <w:multiLevelType w:val="hybridMultilevel"/>
    <w:tmpl w:val="95B81D58"/>
    <w:lvl w:ilvl="0" w:tplc="6BB8F85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71536"/>
    <w:multiLevelType w:val="hybridMultilevel"/>
    <w:tmpl w:val="AE6AA03A"/>
    <w:lvl w:ilvl="0" w:tplc="00D8D2C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13A5B"/>
    <w:multiLevelType w:val="hybridMultilevel"/>
    <w:tmpl w:val="CDDAB1A0"/>
    <w:lvl w:ilvl="0" w:tplc="6BB8F85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84A33"/>
    <w:multiLevelType w:val="hybridMultilevel"/>
    <w:tmpl w:val="9BC1D3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E130D"/>
    <w:multiLevelType w:val="hybridMultilevel"/>
    <w:tmpl w:val="C3C342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AC5DEA1"/>
    <w:multiLevelType w:val="hybridMultilevel"/>
    <w:tmpl w:val="6D724C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CBC3FB7"/>
    <w:multiLevelType w:val="hybridMultilevel"/>
    <w:tmpl w:val="41F60B7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E15AB71"/>
    <w:multiLevelType w:val="hybridMultilevel"/>
    <w:tmpl w:val="7993D8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5"/>
  </w:num>
  <w:num w:numId="3">
    <w:abstractNumId w:val="21"/>
  </w:num>
  <w:num w:numId="4">
    <w:abstractNumId w:val="19"/>
  </w:num>
  <w:num w:numId="5">
    <w:abstractNumId w:val="16"/>
  </w:num>
  <w:num w:numId="6">
    <w:abstractNumId w:val="6"/>
  </w:num>
  <w:num w:numId="7">
    <w:abstractNumId w:val="29"/>
  </w:num>
  <w:num w:numId="8">
    <w:abstractNumId w:val="9"/>
  </w:num>
  <w:num w:numId="9">
    <w:abstractNumId w:val="30"/>
  </w:num>
  <w:num w:numId="10">
    <w:abstractNumId w:val="22"/>
  </w:num>
  <w:num w:numId="11">
    <w:abstractNumId w:val="8"/>
  </w:num>
  <w:num w:numId="12">
    <w:abstractNumId w:val="24"/>
  </w:num>
  <w:num w:numId="13">
    <w:abstractNumId w:val="18"/>
  </w:num>
  <w:num w:numId="14">
    <w:abstractNumId w:val="10"/>
  </w:num>
  <w:num w:numId="15">
    <w:abstractNumId w:val="13"/>
  </w:num>
  <w:num w:numId="16">
    <w:abstractNumId w:val="7"/>
  </w:num>
  <w:num w:numId="17">
    <w:abstractNumId w:val="1"/>
  </w:num>
  <w:num w:numId="18">
    <w:abstractNumId w:val="0"/>
  </w:num>
  <w:num w:numId="19">
    <w:abstractNumId w:val="4"/>
  </w:num>
  <w:num w:numId="20">
    <w:abstractNumId w:val="34"/>
  </w:num>
  <w:num w:numId="21">
    <w:abstractNumId w:val="3"/>
  </w:num>
  <w:num w:numId="22">
    <w:abstractNumId w:val="17"/>
  </w:num>
  <w:num w:numId="23">
    <w:abstractNumId w:val="31"/>
  </w:num>
  <w:num w:numId="24">
    <w:abstractNumId w:val="32"/>
  </w:num>
  <w:num w:numId="25">
    <w:abstractNumId w:val="23"/>
  </w:num>
  <w:num w:numId="26">
    <w:abstractNumId w:val="20"/>
  </w:num>
  <w:num w:numId="27">
    <w:abstractNumId w:val="11"/>
  </w:num>
  <w:num w:numId="28">
    <w:abstractNumId w:val="25"/>
  </w:num>
  <w:num w:numId="29">
    <w:abstractNumId w:val="27"/>
  </w:num>
  <w:num w:numId="30">
    <w:abstractNumId w:val="28"/>
  </w:num>
  <w:num w:numId="31">
    <w:abstractNumId w:val="2"/>
  </w:num>
  <w:num w:numId="32">
    <w:abstractNumId w:val="5"/>
  </w:num>
  <w:num w:numId="33">
    <w:abstractNumId w:val="12"/>
  </w:num>
  <w:num w:numId="34">
    <w:abstractNumId w:val="3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644D"/>
    <w:rsid w:val="0001659E"/>
    <w:rsid w:val="000171F4"/>
    <w:rsid w:val="00022185"/>
    <w:rsid w:val="0003088B"/>
    <w:rsid w:val="000337ED"/>
    <w:rsid w:val="00036BA0"/>
    <w:rsid w:val="00042799"/>
    <w:rsid w:val="00043D3D"/>
    <w:rsid w:val="00046041"/>
    <w:rsid w:val="00054A1B"/>
    <w:rsid w:val="00055826"/>
    <w:rsid w:val="00055AC2"/>
    <w:rsid w:val="00060B36"/>
    <w:rsid w:val="00060E6A"/>
    <w:rsid w:val="00067CCC"/>
    <w:rsid w:val="00074909"/>
    <w:rsid w:val="00075C7A"/>
    <w:rsid w:val="0008140E"/>
    <w:rsid w:val="000841B1"/>
    <w:rsid w:val="000851CA"/>
    <w:rsid w:val="00087274"/>
    <w:rsid w:val="00087477"/>
    <w:rsid w:val="000931A7"/>
    <w:rsid w:val="0009445F"/>
    <w:rsid w:val="000975CD"/>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D20D3"/>
    <w:rsid w:val="000D3A98"/>
    <w:rsid w:val="000D6A0A"/>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439F"/>
    <w:rsid w:val="001270F3"/>
    <w:rsid w:val="00133A0E"/>
    <w:rsid w:val="00134B60"/>
    <w:rsid w:val="0013559A"/>
    <w:rsid w:val="001378D8"/>
    <w:rsid w:val="00144478"/>
    <w:rsid w:val="001565BB"/>
    <w:rsid w:val="00156627"/>
    <w:rsid w:val="00162F28"/>
    <w:rsid w:val="0016481C"/>
    <w:rsid w:val="001719E7"/>
    <w:rsid w:val="001747CF"/>
    <w:rsid w:val="00176280"/>
    <w:rsid w:val="00176A7E"/>
    <w:rsid w:val="00177DCC"/>
    <w:rsid w:val="001800A1"/>
    <w:rsid w:val="001807CF"/>
    <w:rsid w:val="00180B64"/>
    <w:rsid w:val="00181F04"/>
    <w:rsid w:val="00184386"/>
    <w:rsid w:val="00184B55"/>
    <w:rsid w:val="00184F0B"/>
    <w:rsid w:val="001863E3"/>
    <w:rsid w:val="00187296"/>
    <w:rsid w:val="00190930"/>
    <w:rsid w:val="001912FD"/>
    <w:rsid w:val="001929B0"/>
    <w:rsid w:val="00196892"/>
    <w:rsid w:val="001A5299"/>
    <w:rsid w:val="001A6083"/>
    <w:rsid w:val="001B0301"/>
    <w:rsid w:val="001B08C8"/>
    <w:rsid w:val="001B4C17"/>
    <w:rsid w:val="001B526F"/>
    <w:rsid w:val="001C15BF"/>
    <w:rsid w:val="001C383D"/>
    <w:rsid w:val="001D0B13"/>
    <w:rsid w:val="001D0B58"/>
    <w:rsid w:val="001D14D0"/>
    <w:rsid w:val="001D2CDF"/>
    <w:rsid w:val="001E0710"/>
    <w:rsid w:val="001E0B08"/>
    <w:rsid w:val="001E3417"/>
    <w:rsid w:val="001E688D"/>
    <w:rsid w:val="001F0AFF"/>
    <w:rsid w:val="001F2A21"/>
    <w:rsid w:val="001F5404"/>
    <w:rsid w:val="00201298"/>
    <w:rsid w:val="0020593B"/>
    <w:rsid w:val="00211367"/>
    <w:rsid w:val="002119C8"/>
    <w:rsid w:val="00212102"/>
    <w:rsid w:val="002130B9"/>
    <w:rsid w:val="00215424"/>
    <w:rsid w:val="00215F1F"/>
    <w:rsid w:val="002161AE"/>
    <w:rsid w:val="002235C8"/>
    <w:rsid w:val="00224810"/>
    <w:rsid w:val="00225C9B"/>
    <w:rsid w:val="00226D0F"/>
    <w:rsid w:val="002305CF"/>
    <w:rsid w:val="002522B6"/>
    <w:rsid w:val="00257799"/>
    <w:rsid w:val="00263AD0"/>
    <w:rsid w:val="00265737"/>
    <w:rsid w:val="002658AC"/>
    <w:rsid w:val="00266440"/>
    <w:rsid w:val="00267116"/>
    <w:rsid w:val="00270386"/>
    <w:rsid w:val="00275F54"/>
    <w:rsid w:val="002807B7"/>
    <w:rsid w:val="00285791"/>
    <w:rsid w:val="00287608"/>
    <w:rsid w:val="00287FBB"/>
    <w:rsid w:val="00291898"/>
    <w:rsid w:val="00292020"/>
    <w:rsid w:val="00295BE5"/>
    <w:rsid w:val="002969A7"/>
    <w:rsid w:val="00297FF6"/>
    <w:rsid w:val="002A4560"/>
    <w:rsid w:val="002A75E8"/>
    <w:rsid w:val="002B1983"/>
    <w:rsid w:val="002B5530"/>
    <w:rsid w:val="002B5780"/>
    <w:rsid w:val="002B5E59"/>
    <w:rsid w:val="002B5F8E"/>
    <w:rsid w:val="002C40F6"/>
    <w:rsid w:val="002C62F1"/>
    <w:rsid w:val="002D2724"/>
    <w:rsid w:val="002D7D9E"/>
    <w:rsid w:val="002E43AB"/>
    <w:rsid w:val="002E73EE"/>
    <w:rsid w:val="002E7C9A"/>
    <w:rsid w:val="002F1F32"/>
    <w:rsid w:val="002F3813"/>
    <w:rsid w:val="002F3B3C"/>
    <w:rsid w:val="002F435D"/>
    <w:rsid w:val="002F57D7"/>
    <w:rsid w:val="002F78DA"/>
    <w:rsid w:val="003026DE"/>
    <w:rsid w:val="0030697C"/>
    <w:rsid w:val="00310A3D"/>
    <w:rsid w:val="00310FC9"/>
    <w:rsid w:val="00313011"/>
    <w:rsid w:val="00313CA9"/>
    <w:rsid w:val="00314A9C"/>
    <w:rsid w:val="00315BEA"/>
    <w:rsid w:val="00315EA2"/>
    <w:rsid w:val="003175D1"/>
    <w:rsid w:val="00320A0F"/>
    <w:rsid w:val="00320B32"/>
    <w:rsid w:val="00321D1D"/>
    <w:rsid w:val="00323311"/>
    <w:rsid w:val="00326FB5"/>
    <w:rsid w:val="00332095"/>
    <w:rsid w:val="00332968"/>
    <w:rsid w:val="00337E0B"/>
    <w:rsid w:val="003402FC"/>
    <w:rsid w:val="00342C93"/>
    <w:rsid w:val="00342EF0"/>
    <w:rsid w:val="00344669"/>
    <w:rsid w:val="003460FE"/>
    <w:rsid w:val="0035699E"/>
    <w:rsid w:val="00357B4F"/>
    <w:rsid w:val="00364E6A"/>
    <w:rsid w:val="00365AE1"/>
    <w:rsid w:val="0037263B"/>
    <w:rsid w:val="0037372F"/>
    <w:rsid w:val="00373F64"/>
    <w:rsid w:val="00374C7E"/>
    <w:rsid w:val="0037508D"/>
    <w:rsid w:val="0037547F"/>
    <w:rsid w:val="003755C1"/>
    <w:rsid w:val="003775EB"/>
    <w:rsid w:val="00377635"/>
    <w:rsid w:val="0038497A"/>
    <w:rsid w:val="00386D2E"/>
    <w:rsid w:val="00386FFF"/>
    <w:rsid w:val="0039108F"/>
    <w:rsid w:val="00393A2D"/>
    <w:rsid w:val="003A0AA0"/>
    <w:rsid w:val="003A2F59"/>
    <w:rsid w:val="003A3334"/>
    <w:rsid w:val="003A4B7E"/>
    <w:rsid w:val="003A72B2"/>
    <w:rsid w:val="003B2D0C"/>
    <w:rsid w:val="003B3FD2"/>
    <w:rsid w:val="003B5644"/>
    <w:rsid w:val="003B6BAC"/>
    <w:rsid w:val="003C2424"/>
    <w:rsid w:val="003C3827"/>
    <w:rsid w:val="003C3B56"/>
    <w:rsid w:val="003C4DDC"/>
    <w:rsid w:val="003C50C0"/>
    <w:rsid w:val="003C6185"/>
    <w:rsid w:val="003D363E"/>
    <w:rsid w:val="003E1789"/>
    <w:rsid w:val="003F6BD2"/>
    <w:rsid w:val="00400FF9"/>
    <w:rsid w:val="004034C9"/>
    <w:rsid w:val="00410CF3"/>
    <w:rsid w:val="00410DEB"/>
    <w:rsid w:val="004131C8"/>
    <w:rsid w:val="00416674"/>
    <w:rsid w:val="004166CB"/>
    <w:rsid w:val="004222C1"/>
    <w:rsid w:val="004227BF"/>
    <w:rsid w:val="004232BE"/>
    <w:rsid w:val="00424DB9"/>
    <w:rsid w:val="0042623A"/>
    <w:rsid w:val="00433062"/>
    <w:rsid w:val="004379CC"/>
    <w:rsid w:val="004425E8"/>
    <w:rsid w:val="0044464C"/>
    <w:rsid w:val="00445B6B"/>
    <w:rsid w:val="0045024A"/>
    <w:rsid w:val="00452A82"/>
    <w:rsid w:val="00456445"/>
    <w:rsid w:val="00456828"/>
    <w:rsid w:val="00463EAF"/>
    <w:rsid w:val="004649D0"/>
    <w:rsid w:val="00465623"/>
    <w:rsid w:val="00465783"/>
    <w:rsid w:val="00476211"/>
    <w:rsid w:val="00482B50"/>
    <w:rsid w:val="00482E4F"/>
    <w:rsid w:val="004A1F72"/>
    <w:rsid w:val="004A40D7"/>
    <w:rsid w:val="004A6871"/>
    <w:rsid w:val="004A7722"/>
    <w:rsid w:val="004B7418"/>
    <w:rsid w:val="004C3362"/>
    <w:rsid w:val="004C3CB2"/>
    <w:rsid w:val="004C3CF7"/>
    <w:rsid w:val="004C3DDE"/>
    <w:rsid w:val="004C54AA"/>
    <w:rsid w:val="004C580B"/>
    <w:rsid w:val="004C5D52"/>
    <w:rsid w:val="004D0163"/>
    <w:rsid w:val="004D73F6"/>
    <w:rsid w:val="004D7A64"/>
    <w:rsid w:val="004E0C73"/>
    <w:rsid w:val="004E6D11"/>
    <w:rsid w:val="004E7069"/>
    <w:rsid w:val="004F4DD8"/>
    <w:rsid w:val="00500C99"/>
    <w:rsid w:val="0050194B"/>
    <w:rsid w:val="00502BB9"/>
    <w:rsid w:val="00502EA0"/>
    <w:rsid w:val="00503764"/>
    <w:rsid w:val="005040CC"/>
    <w:rsid w:val="00504674"/>
    <w:rsid w:val="005051C3"/>
    <w:rsid w:val="00507318"/>
    <w:rsid w:val="00514547"/>
    <w:rsid w:val="0051567D"/>
    <w:rsid w:val="00515D5C"/>
    <w:rsid w:val="00516A79"/>
    <w:rsid w:val="00516FA1"/>
    <w:rsid w:val="00517BA4"/>
    <w:rsid w:val="005222BC"/>
    <w:rsid w:val="00526BF3"/>
    <w:rsid w:val="00530D84"/>
    <w:rsid w:val="005432D9"/>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64A3"/>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E1BD6"/>
    <w:rsid w:val="005E4EE7"/>
    <w:rsid w:val="005F23A0"/>
    <w:rsid w:val="005F5D74"/>
    <w:rsid w:val="005F7C99"/>
    <w:rsid w:val="00604E2E"/>
    <w:rsid w:val="00605C56"/>
    <w:rsid w:val="00606BEF"/>
    <w:rsid w:val="0060722B"/>
    <w:rsid w:val="006120A8"/>
    <w:rsid w:val="006134A1"/>
    <w:rsid w:val="00613AF4"/>
    <w:rsid w:val="00617909"/>
    <w:rsid w:val="006213FC"/>
    <w:rsid w:val="006222CC"/>
    <w:rsid w:val="00634F4C"/>
    <w:rsid w:val="00636BF8"/>
    <w:rsid w:val="006430C0"/>
    <w:rsid w:val="006453C8"/>
    <w:rsid w:val="006457C7"/>
    <w:rsid w:val="00647035"/>
    <w:rsid w:val="00647208"/>
    <w:rsid w:val="00651195"/>
    <w:rsid w:val="006534B7"/>
    <w:rsid w:val="00654010"/>
    <w:rsid w:val="00655E65"/>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B0752"/>
    <w:rsid w:val="006B2E11"/>
    <w:rsid w:val="006B69BE"/>
    <w:rsid w:val="006B6C65"/>
    <w:rsid w:val="006B78B3"/>
    <w:rsid w:val="006C126D"/>
    <w:rsid w:val="006C66C8"/>
    <w:rsid w:val="006C6B70"/>
    <w:rsid w:val="006D27F9"/>
    <w:rsid w:val="006D4151"/>
    <w:rsid w:val="006D5533"/>
    <w:rsid w:val="006E027C"/>
    <w:rsid w:val="006E68B3"/>
    <w:rsid w:val="006F13A6"/>
    <w:rsid w:val="006F1709"/>
    <w:rsid w:val="006F38E7"/>
    <w:rsid w:val="006F39F6"/>
    <w:rsid w:val="00700132"/>
    <w:rsid w:val="00700C90"/>
    <w:rsid w:val="00711C52"/>
    <w:rsid w:val="007130E8"/>
    <w:rsid w:val="00714949"/>
    <w:rsid w:val="00716140"/>
    <w:rsid w:val="00716A2B"/>
    <w:rsid w:val="007206EF"/>
    <w:rsid w:val="00720CE3"/>
    <w:rsid w:val="0072398F"/>
    <w:rsid w:val="00731131"/>
    <w:rsid w:val="007330B9"/>
    <w:rsid w:val="00741F6B"/>
    <w:rsid w:val="007434C9"/>
    <w:rsid w:val="00745190"/>
    <w:rsid w:val="007462D3"/>
    <w:rsid w:val="007467F6"/>
    <w:rsid w:val="00752518"/>
    <w:rsid w:val="00754A4D"/>
    <w:rsid w:val="00754FD5"/>
    <w:rsid w:val="007577F9"/>
    <w:rsid w:val="00773BC1"/>
    <w:rsid w:val="0077553F"/>
    <w:rsid w:val="00791290"/>
    <w:rsid w:val="00791FF6"/>
    <w:rsid w:val="007942E7"/>
    <w:rsid w:val="00794C2F"/>
    <w:rsid w:val="00794D5D"/>
    <w:rsid w:val="00796310"/>
    <w:rsid w:val="0079777F"/>
    <w:rsid w:val="007A0371"/>
    <w:rsid w:val="007A1F9F"/>
    <w:rsid w:val="007A5F7F"/>
    <w:rsid w:val="007B1494"/>
    <w:rsid w:val="007B23A4"/>
    <w:rsid w:val="007B3845"/>
    <w:rsid w:val="007B7139"/>
    <w:rsid w:val="007C53C9"/>
    <w:rsid w:val="007D2972"/>
    <w:rsid w:val="007D455C"/>
    <w:rsid w:val="007D4EC1"/>
    <w:rsid w:val="007D53F3"/>
    <w:rsid w:val="007E3CC7"/>
    <w:rsid w:val="007E495D"/>
    <w:rsid w:val="007E4DCA"/>
    <w:rsid w:val="007E51C5"/>
    <w:rsid w:val="007E5929"/>
    <w:rsid w:val="007E5D4D"/>
    <w:rsid w:val="007E7FD3"/>
    <w:rsid w:val="007F0634"/>
    <w:rsid w:val="007F4544"/>
    <w:rsid w:val="00803025"/>
    <w:rsid w:val="00804671"/>
    <w:rsid w:val="00805229"/>
    <w:rsid w:val="00805C38"/>
    <w:rsid w:val="008127F3"/>
    <w:rsid w:val="00815E09"/>
    <w:rsid w:val="00824DA0"/>
    <w:rsid w:val="00825E9C"/>
    <w:rsid w:val="008271AE"/>
    <w:rsid w:val="008361FE"/>
    <w:rsid w:val="00837BA9"/>
    <w:rsid w:val="0084428B"/>
    <w:rsid w:val="008455FD"/>
    <w:rsid w:val="00847A6E"/>
    <w:rsid w:val="008537C9"/>
    <w:rsid w:val="00856ED0"/>
    <w:rsid w:val="00860572"/>
    <w:rsid w:val="00861296"/>
    <w:rsid w:val="008621B5"/>
    <w:rsid w:val="00863CDF"/>
    <w:rsid w:val="00863E73"/>
    <w:rsid w:val="00867633"/>
    <w:rsid w:val="00871A05"/>
    <w:rsid w:val="008739B1"/>
    <w:rsid w:val="008829FE"/>
    <w:rsid w:val="00882A80"/>
    <w:rsid w:val="008865F0"/>
    <w:rsid w:val="008915D3"/>
    <w:rsid w:val="0089278C"/>
    <w:rsid w:val="00895971"/>
    <w:rsid w:val="008A3114"/>
    <w:rsid w:val="008A4465"/>
    <w:rsid w:val="008A4985"/>
    <w:rsid w:val="008A57DA"/>
    <w:rsid w:val="008A66AF"/>
    <w:rsid w:val="008B0834"/>
    <w:rsid w:val="008B3120"/>
    <w:rsid w:val="008B350E"/>
    <w:rsid w:val="008B3D5A"/>
    <w:rsid w:val="008B41AD"/>
    <w:rsid w:val="008B4B73"/>
    <w:rsid w:val="008C3B9E"/>
    <w:rsid w:val="008C6410"/>
    <w:rsid w:val="008C6C73"/>
    <w:rsid w:val="008D4599"/>
    <w:rsid w:val="008E69E5"/>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3107"/>
    <w:rsid w:val="00963956"/>
    <w:rsid w:val="0097210C"/>
    <w:rsid w:val="0097324D"/>
    <w:rsid w:val="009735AC"/>
    <w:rsid w:val="00974CE1"/>
    <w:rsid w:val="00974E1D"/>
    <w:rsid w:val="0098006F"/>
    <w:rsid w:val="0098091B"/>
    <w:rsid w:val="00981088"/>
    <w:rsid w:val="00981356"/>
    <w:rsid w:val="00982BCE"/>
    <w:rsid w:val="00984ECF"/>
    <w:rsid w:val="009866D6"/>
    <w:rsid w:val="009877A5"/>
    <w:rsid w:val="0099309E"/>
    <w:rsid w:val="00995EF0"/>
    <w:rsid w:val="009A28D9"/>
    <w:rsid w:val="009A4322"/>
    <w:rsid w:val="009A5075"/>
    <w:rsid w:val="009A66C9"/>
    <w:rsid w:val="009A69D4"/>
    <w:rsid w:val="009A6BFD"/>
    <w:rsid w:val="009B11C8"/>
    <w:rsid w:val="009B5E46"/>
    <w:rsid w:val="009B6619"/>
    <w:rsid w:val="009B7B83"/>
    <w:rsid w:val="009B7C3C"/>
    <w:rsid w:val="009B7F35"/>
    <w:rsid w:val="009C2143"/>
    <w:rsid w:val="009C37BB"/>
    <w:rsid w:val="009C79B3"/>
    <w:rsid w:val="009D0CF3"/>
    <w:rsid w:val="009D56D7"/>
    <w:rsid w:val="009E36B4"/>
    <w:rsid w:val="009E5635"/>
    <w:rsid w:val="009E5BDA"/>
    <w:rsid w:val="009F40DA"/>
    <w:rsid w:val="009F46D9"/>
    <w:rsid w:val="009F64D1"/>
    <w:rsid w:val="00A07CA0"/>
    <w:rsid w:val="00A12268"/>
    <w:rsid w:val="00A16D6F"/>
    <w:rsid w:val="00A1751A"/>
    <w:rsid w:val="00A179A4"/>
    <w:rsid w:val="00A207AE"/>
    <w:rsid w:val="00A31E6E"/>
    <w:rsid w:val="00A32689"/>
    <w:rsid w:val="00A345ED"/>
    <w:rsid w:val="00A369A8"/>
    <w:rsid w:val="00A45773"/>
    <w:rsid w:val="00A473D9"/>
    <w:rsid w:val="00A50572"/>
    <w:rsid w:val="00A52AB6"/>
    <w:rsid w:val="00A54282"/>
    <w:rsid w:val="00A56D4E"/>
    <w:rsid w:val="00A5701C"/>
    <w:rsid w:val="00A6059B"/>
    <w:rsid w:val="00A7132A"/>
    <w:rsid w:val="00A7419F"/>
    <w:rsid w:val="00A76A35"/>
    <w:rsid w:val="00A81674"/>
    <w:rsid w:val="00A86BF6"/>
    <w:rsid w:val="00A918EC"/>
    <w:rsid w:val="00A93783"/>
    <w:rsid w:val="00A95A42"/>
    <w:rsid w:val="00A95EA1"/>
    <w:rsid w:val="00A97375"/>
    <w:rsid w:val="00AA4468"/>
    <w:rsid w:val="00AA5592"/>
    <w:rsid w:val="00AA732C"/>
    <w:rsid w:val="00AB02DA"/>
    <w:rsid w:val="00AB0C7D"/>
    <w:rsid w:val="00AB2774"/>
    <w:rsid w:val="00AB6FFF"/>
    <w:rsid w:val="00AC142C"/>
    <w:rsid w:val="00AC3701"/>
    <w:rsid w:val="00AC57F5"/>
    <w:rsid w:val="00AD1BF1"/>
    <w:rsid w:val="00AD2460"/>
    <w:rsid w:val="00AD2B0C"/>
    <w:rsid w:val="00AD4E7C"/>
    <w:rsid w:val="00AE1C33"/>
    <w:rsid w:val="00AE4194"/>
    <w:rsid w:val="00AF0726"/>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0CBB"/>
    <w:rsid w:val="00B25B05"/>
    <w:rsid w:val="00B308E5"/>
    <w:rsid w:val="00B30D88"/>
    <w:rsid w:val="00B33335"/>
    <w:rsid w:val="00B346E4"/>
    <w:rsid w:val="00B359B3"/>
    <w:rsid w:val="00B45F01"/>
    <w:rsid w:val="00B47A59"/>
    <w:rsid w:val="00B513EC"/>
    <w:rsid w:val="00B517DF"/>
    <w:rsid w:val="00B57666"/>
    <w:rsid w:val="00B646F7"/>
    <w:rsid w:val="00B6744D"/>
    <w:rsid w:val="00B75DD9"/>
    <w:rsid w:val="00B80F5B"/>
    <w:rsid w:val="00B84ECC"/>
    <w:rsid w:val="00B87479"/>
    <w:rsid w:val="00B9059C"/>
    <w:rsid w:val="00B9375F"/>
    <w:rsid w:val="00B969F5"/>
    <w:rsid w:val="00B970BE"/>
    <w:rsid w:val="00BA079A"/>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66D0"/>
    <w:rsid w:val="00BF6E18"/>
    <w:rsid w:val="00C04840"/>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2E77"/>
    <w:rsid w:val="00C55FA7"/>
    <w:rsid w:val="00C57410"/>
    <w:rsid w:val="00C6287E"/>
    <w:rsid w:val="00C656AC"/>
    <w:rsid w:val="00C7010F"/>
    <w:rsid w:val="00C710E2"/>
    <w:rsid w:val="00C712EC"/>
    <w:rsid w:val="00C71ADB"/>
    <w:rsid w:val="00C7566A"/>
    <w:rsid w:val="00C7648A"/>
    <w:rsid w:val="00C808C9"/>
    <w:rsid w:val="00C814F8"/>
    <w:rsid w:val="00C852B0"/>
    <w:rsid w:val="00C85E93"/>
    <w:rsid w:val="00C86CA7"/>
    <w:rsid w:val="00C8726F"/>
    <w:rsid w:val="00C904FE"/>
    <w:rsid w:val="00C9187B"/>
    <w:rsid w:val="00C92BDA"/>
    <w:rsid w:val="00C92FF6"/>
    <w:rsid w:val="00C933B8"/>
    <w:rsid w:val="00CA2605"/>
    <w:rsid w:val="00CA3E42"/>
    <w:rsid w:val="00CA60AF"/>
    <w:rsid w:val="00CA6356"/>
    <w:rsid w:val="00CA6808"/>
    <w:rsid w:val="00CB1F64"/>
    <w:rsid w:val="00CB403C"/>
    <w:rsid w:val="00CB75A9"/>
    <w:rsid w:val="00CC03EF"/>
    <w:rsid w:val="00CC1B7B"/>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518C"/>
    <w:rsid w:val="00D32412"/>
    <w:rsid w:val="00D41599"/>
    <w:rsid w:val="00D45283"/>
    <w:rsid w:val="00D47E3B"/>
    <w:rsid w:val="00D5057F"/>
    <w:rsid w:val="00D51944"/>
    <w:rsid w:val="00D542CB"/>
    <w:rsid w:val="00D54FDB"/>
    <w:rsid w:val="00D558D7"/>
    <w:rsid w:val="00D56950"/>
    <w:rsid w:val="00D60C02"/>
    <w:rsid w:val="00D6413E"/>
    <w:rsid w:val="00D64290"/>
    <w:rsid w:val="00D64BE7"/>
    <w:rsid w:val="00D65C77"/>
    <w:rsid w:val="00D67666"/>
    <w:rsid w:val="00D745C7"/>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D115B"/>
    <w:rsid w:val="00DD1A5D"/>
    <w:rsid w:val="00DD74A4"/>
    <w:rsid w:val="00DE2AEC"/>
    <w:rsid w:val="00DE31AE"/>
    <w:rsid w:val="00DE4600"/>
    <w:rsid w:val="00DE4657"/>
    <w:rsid w:val="00DE4DFE"/>
    <w:rsid w:val="00DF07ED"/>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53AB"/>
    <w:rsid w:val="00E16999"/>
    <w:rsid w:val="00E16E57"/>
    <w:rsid w:val="00E210C0"/>
    <w:rsid w:val="00E25C85"/>
    <w:rsid w:val="00E26EC7"/>
    <w:rsid w:val="00E27150"/>
    <w:rsid w:val="00E27FF6"/>
    <w:rsid w:val="00E32C0B"/>
    <w:rsid w:val="00E35C2E"/>
    <w:rsid w:val="00E37D5A"/>
    <w:rsid w:val="00E37DDF"/>
    <w:rsid w:val="00E4005F"/>
    <w:rsid w:val="00E414CD"/>
    <w:rsid w:val="00E42902"/>
    <w:rsid w:val="00E447E5"/>
    <w:rsid w:val="00E45C59"/>
    <w:rsid w:val="00E45FE7"/>
    <w:rsid w:val="00E502A6"/>
    <w:rsid w:val="00E50D0E"/>
    <w:rsid w:val="00E541A6"/>
    <w:rsid w:val="00E55A87"/>
    <w:rsid w:val="00E55BC0"/>
    <w:rsid w:val="00E572A2"/>
    <w:rsid w:val="00E57A28"/>
    <w:rsid w:val="00E6120C"/>
    <w:rsid w:val="00E61EFF"/>
    <w:rsid w:val="00E6223E"/>
    <w:rsid w:val="00E62812"/>
    <w:rsid w:val="00E64F50"/>
    <w:rsid w:val="00E716AA"/>
    <w:rsid w:val="00E8003A"/>
    <w:rsid w:val="00E80587"/>
    <w:rsid w:val="00E82A36"/>
    <w:rsid w:val="00E861B8"/>
    <w:rsid w:val="00E910A6"/>
    <w:rsid w:val="00E919D3"/>
    <w:rsid w:val="00E9591B"/>
    <w:rsid w:val="00E979C3"/>
    <w:rsid w:val="00EA2043"/>
    <w:rsid w:val="00EA224C"/>
    <w:rsid w:val="00EA3E69"/>
    <w:rsid w:val="00EB4353"/>
    <w:rsid w:val="00EB4677"/>
    <w:rsid w:val="00EB59BA"/>
    <w:rsid w:val="00EB6C92"/>
    <w:rsid w:val="00EC7B9B"/>
    <w:rsid w:val="00ED16FA"/>
    <w:rsid w:val="00ED23AC"/>
    <w:rsid w:val="00ED325B"/>
    <w:rsid w:val="00ED3D44"/>
    <w:rsid w:val="00EE01E2"/>
    <w:rsid w:val="00EE066A"/>
    <w:rsid w:val="00EE5181"/>
    <w:rsid w:val="00EF2B5A"/>
    <w:rsid w:val="00F00FC7"/>
    <w:rsid w:val="00F01641"/>
    <w:rsid w:val="00F12DA1"/>
    <w:rsid w:val="00F168D7"/>
    <w:rsid w:val="00F20664"/>
    <w:rsid w:val="00F23461"/>
    <w:rsid w:val="00F255B8"/>
    <w:rsid w:val="00F318F0"/>
    <w:rsid w:val="00F33D86"/>
    <w:rsid w:val="00F34FF1"/>
    <w:rsid w:val="00F37857"/>
    <w:rsid w:val="00F41C18"/>
    <w:rsid w:val="00F4447F"/>
    <w:rsid w:val="00F45DA2"/>
    <w:rsid w:val="00F476CD"/>
    <w:rsid w:val="00F5167B"/>
    <w:rsid w:val="00F573F4"/>
    <w:rsid w:val="00F5743F"/>
    <w:rsid w:val="00F63C95"/>
    <w:rsid w:val="00F72C15"/>
    <w:rsid w:val="00F77DE9"/>
    <w:rsid w:val="00F81A9B"/>
    <w:rsid w:val="00F862B5"/>
    <w:rsid w:val="00F865A7"/>
    <w:rsid w:val="00F92D29"/>
    <w:rsid w:val="00FA345C"/>
    <w:rsid w:val="00FA441B"/>
    <w:rsid w:val="00FA76AC"/>
    <w:rsid w:val="00FA7CA9"/>
    <w:rsid w:val="00FB1891"/>
    <w:rsid w:val="00FB2AB0"/>
    <w:rsid w:val="00FB5B0A"/>
    <w:rsid w:val="00FB6823"/>
    <w:rsid w:val="00FC2E2C"/>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009F944-1914-4EF1-99EE-DC41E0DF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customStyle="1" w:styleId="Default">
    <w:name w:val="Default"/>
    <w:rsid w:val="002807B7"/>
    <w:pPr>
      <w:autoSpaceDE w:val="0"/>
      <w:autoSpaceDN w:val="0"/>
      <w:adjustRightInd w:val="0"/>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11A58ED-468F-4C91-9344-EE59EA1679C1}"/>
</file>

<file path=customXml/itemProps2.xml><?xml version="1.0" encoding="utf-8"?>
<ds:datastoreItem xmlns:ds="http://schemas.openxmlformats.org/officeDocument/2006/customXml" ds:itemID="{89FBA95F-8EF9-4ED5-A846-2D3176A7D397}"/>
</file>

<file path=customXml/itemProps3.xml><?xml version="1.0" encoding="utf-8"?>
<ds:datastoreItem xmlns:ds="http://schemas.openxmlformats.org/officeDocument/2006/customXml" ds:itemID="{BBF5A535-B7EC-4DC7-8B55-4014B8DA35D8}"/>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4224</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2008-01-11T15:44:00Z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