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61" w:rsidRDefault="00F73861" w:rsidP="00F73861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N° 5766</w:t>
      </w:r>
    </w:p>
    <w:p w:rsidR="00F73861" w:rsidRDefault="00F73861" w:rsidP="00F73861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CHAMBRE DES DEPUTES</w:t>
      </w:r>
    </w:p>
    <w:p w:rsidR="00F73861" w:rsidRDefault="00F73861" w:rsidP="00F73861">
      <w:pPr>
        <w:tabs>
          <w:tab w:val="left" w:pos="1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Session ordinaire 2007-2008</w:t>
      </w:r>
    </w:p>
    <w:p w:rsidR="00F73861" w:rsidRDefault="00F73861" w:rsidP="00F73861">
      <w:pPr>
        <w:pBdr>
          <w:bottom w:val="single" w:sz="12" w:space="1" w:color="auto"/>
        </w:pBdr>
        <w:tabs>
          <w:tab w:val="left" w:pos="180"/>
        </w:tabs>
        <w:jc w:val="center"/>
        <w:rPr>
          <w:sz w:val="22"/>
          <w:szCs w:val="22"/>
        </w:rPr>
      </w:pPr>
    </w:p>
    <w:p w:rsidR="00F73861" w:rsidRDefault="00F73861" w:rsidP="00F73861">
      <w:pPr>
        <w:tabs>
          <w:tab w:val="left" w:pos="180"/>
        </w:tabs>
        <w:jc w:val="center"/>
        <w:rPr>
          <w:sz w:val="22"/>
          <w:szCs w:val="22"/>
        </w:rPr>
      </w:pPr>
    </w:p>
    <w:p w:rsidR="00F73861" w:rsidRDefault="00F73861" w:rsidP="00F73861">
      <w:pPr>
        <w:tabs>
          <w:tab w:val="left" w:pos="180"/>
        </w:tabs>
        <w:jc w:val="center"/>
        <w:rPr>
          <w:sz w:val="22"/>
          <w:szCs w:val="22"/>
        </w:rPr>
      </w:pPr>
    </w:p>
    <w:p w:rsidR="00F73861" w:rsidRDefault="00F73861" w:rsidP="00F73861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 DE LOI</w:t>
      </w:r>
    </w:p>
    <w:p w:rsidR="00F73861" w:rsidRDefault="00F73861" w:rsidP="00F73861">
      <w:pPr>
        <w:tabs>
          <w:tab w:val="left" w:pos="180"/>
        </w:tabs>
        <w:jc w:val="center"/>
        <w:rPr>
          <w:b/>
        </w:rPr>
      </w:pPr>
      <w:r>
        <w:rPr>
          <w:b/>
        </w:rPr>
        <w:t>relatif à la quatrième extension du</w:t>
      </w:r>
    </w:p>
    <w:p w:rsidR="00F73861" w:rsidRDefault="00F73861" w:rsidP="00F73861">
      <w:pPr>
        <w:tabs>
          <w:tab w:val="left" w:pos="180"/>
        </w:tabs>
        <w:jc w:val="center"/>
        <w:rPr>
          <w:b/>
        </w:rPr>
      </w:pPr>
      <w:r>
        <w:rPr>
          <w:b/>
        </w:rPr>
        <w:t xml:space="preserve">Centre de conférences à </w:t>
      </w:r>
      <w:proofErr w:type="spellStart"/>
      <w:r>
        <w:rPr>
          <w:b/>
        </w:rPr>
        <w:t>Luxembourg-Kirchberg</w:t>
      </w:r>
      <w:proofErr w:type="spellEnd"/>
    </w:p>
    <w:p w:rsidR="00F73861" w:rsidRDefault="00F73861" w:rsidP="00F73861">
      <w:pPr>
        <w:tabs>
          <w:tab w:val="left" w:pos="180"/>
        </w:tabs>
        <w:jc w:val="center"/>
        <w:rPr>
          <w:b/>
        </w:rPr>
      </w:pPr>
    </w:p>
    <w:p w:rsidR="00F73861" w:rsidRDefault="00F73861" w:rsidP="00F7386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F73861" w:rsidRDefault="00F73861" w:rsidP="00F7386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F73861" w:rsidRDefault="00F73861" w:rsidP="00F7386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</w:t>
      </w:r>
      <w:r w:rsidRPr="00F73861">
        <w:rPr>
          <w:rFonts w:ascii="Times-Roman" w:hAnsi="Times-Roman" w:cs="Times-Roman"/>
        </w:rPr>
        <w:t>e gouvernement entend répondre grâce au nouveau projet d’extension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 xml:space="preserve">du centre de conférences aménagé à </w:t>
      </w:r>
      <w:proofErr w:type="spellStart"/>
      <w:r w:rsidRPr="00F73861">
        <w:rPr>
          <w:rFonts w:ascii="Times-Roman" w:hAnsi="Times-Roman" w:cs="Times-Roman"/>
        </w:rPr>
        <w:t>Luxembourg-Kirchberg</w:t>
      </w:r>
      <w:proofErr w:type="spellEnd"/>
      <w:r w:rsidRPr="00F73861">
        <w:rPr>
          <w:rFonts w:ascii="Times-Roman" w:hAnsi="Times-Roman" w:cs="Times-Roman"/>
        </w:rPr>
        <w:t xml:space="preserve"> aux besoins nouvellement définis en la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 xml:space="preserve">matière de commun </w:t>
      </w:r>
      <w:r>
        <w:rPr>
          <w:rFonts w:ascii="Times-Roman" w:hAnsi="Times-Roman" w:cs="Times-Roman"/>
        </w:rPr>
        <w:t>a</w:t>
      </w:r>
      <w:r w:rsidRPr="00F73861">
        <w:rPr>
          <w:rFonts w:ascii="Times-Roman" w:hAnsi="Times-Roman" w:cs="Times-Roman"/>
        </w:rPr>
        <w:t>ccord avec les instances communautaires compétentes, tout en essayant d’anticiper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dans la mesure du possible des besoins supplémentaires futurs.</w:t>
      </w:r>
    </w:p>
    <w:p w:rsidR="00F73861" w:rsidRPr="00F73861" w:rsidRDefault="00F73861" w:rsidP="00F7386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861" w:rsidRPr="00F73861" w:rsidRDefault="00F73861" w:rsidP="00F7386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</w:t>
      </w:r>
      <w:r w:rsidRPr="00F73861">
        <w:rPr>
          <w:rFonts w:ascii="Times-Roman" w:hAnsi="Times-Roman" w:cs="Times-Roman"/>
        </w:rPr>
        <w:t>’extension du centre de conférences comporte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deux parties principales. La première consiste à créer les préalables infrastructurels pour le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déroulement parallèle de la session de deux conseils des ministres, d’où la nécessité de l’aménagement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d’une deuxième grande salle de conférence avec les équipements requis, notamment pour assurer la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traduction simultanée dans l’ensemble des langues officielles de l’Union européenne. La seconde partie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de l’extension comporte l’aménagement d’un centre de presse adapté aux besoins actuels, dont des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salles d’écoute complémentaires, une nouvelle salle de conférences de presse, des locaux de travail et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 xml:space="preserve">de </w:t>
      </w:r>
      <w:r w:rsidRPr="00F73861">
        <w:rPr>
          <w:rFonts w:ascii="Times-Italic" w:hAnsi="Times-Italic" w:cs="Times-Italic"/>
          <w:i/>
          <w:iCs/>
        </w:rPr>
        <w:t xml:space="preserve">briefing </w:t>
      </w:r>
      <w:r w:rsidRPr="00F73861">
        <w:rPr>
          <w:rFonts w:ascii="Times-Roman" w:hAnsi="Times-Roman" w:cs="Times-Roman"/>
        </w:rPr>
        <w:t xml:space="preserve">ainsi qu’un foyer et des infrastructures permettant la restauration des journalistes. </w:t>
      </w:r>
      <w:r>
        <w:rPr>
          <w:rFonts w:ascii="Times-Roman" w:hAnsi="Times-Roman" w:cs="Times-Roman"/>
        </w:rPr>
        <w:t>Les a</w:t>
      </w:r>
      <w:r w:rsidRPr="00F73861">
        <w:rPr>
          <w:rFonts w:ascii="Times-Roman" w:hAnsi="Times-Roman" w:cs="Times-Roman"/>
        </w:rPr>
        <w:t>ménagements en question requerront l’assainissement préalable des annexes existantes vouées à la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démolition, surtout pour en extraire les matières amiantées. Enfin, en attendant la mise en service des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nouvelles structures, le centre de conférences provisoire, installé dans les halles d’exposition de la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>société des foires LUXEXPO, sera adapté, avant que les halles occupées ne soient plus tard, au moment</w:t>
      </w:r>
      <w:r>
        <w:rPr>
          <w:rFonts w:ascii="Times-Roman" w:hAnsi="Times-Roman" w:cs="Times-Roman"/>
        </w:rPr>
        <w:t xml:space="preserve"> </w:t>
      </w:r>
      <w:r w:rsidRPr="00F73861">
        <w:rPr>
          <w:rFonts w:ascii="Times-Roman" w:hAnsi="Times-Roman" w:cs="Times-Roman"/>
        </w:rPr>
        <w:t xml:space="preserve">où elles auront fini de servir pour les besoins actuels, remises dans leur </w:t>
      </w:r>
      <w:proofErr w:type="spellStart"/>
      <w:r w:rsidRPr="00F73861">
        <w:rPr>
          <w:rFonts w:ascii="Times-Roman" w:hAnsi="Times-Roman" w:cs="Times-Roman"/>
        </w:rPr>
        <w:t>pristin</w:t>
      </w:r>
      <w:proofErr w:type="spellEnd"/>
      <w:r w:rsidRPr="00F73861">
        <w:rPr>
          <w:rFonts w:ascii="Times-Roman" w:hAnsi="Times-Roman" w:cs="Times-Roman"/>
        </w:rPr>
        <w:t xml:space="preserve"> état.</w:t>
      </w:r>
    </w:p>
    <w:p w:rsidR="00F73861" w:rsidRDefault="00F73861" w:rsidP="00F7386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F73861" w:rsidRPr="00F73861" w:rsidRDefault="00F73861" w:rsidP="00F7386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F73861" w:rsidRPr="00F73861" w:rsidRDefault="00F73861" w:rsidP="00F7386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73861" w:rsidRDefault="00F73861"/>
    <w:sectPr w:rsidR="00F73861" w:rsidSect="00F7386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861"/>
    <w:rsid w:val="00536435"/>
    <w:rsid w:val="005F16E8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E04A886-0C1E-42DE-9781-8B72821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EE513E8-CFDC-4938-BFA4-183FABDAC8F7}"/>
</file>

<file path=customXml/itemProps2.xml><?xml version="1.0" encoding="utf-8"?>
<ds:datastoreItem xmlns:ds="http://schemas.openxmlformats.org/officeDocument/2006/customXml" ds:itemID="{84E7D311-14E9-4327-9F1A-C6057D89523E}"/>
</file>

<file path=customXml/itemProps3.xml><?xml version="1.0" encoding="utf-8"?>
<ds:datastoreItem xmlns:ds="http://schemas.openxmlformats.org/officeDocument/2006/customXml" ds:itemID="{EB77F702-95EF-464E-B043-9E421085D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5766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Yvette Hellinghausen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