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81" w:rsidRDefault="00D95181" w:rsidP="00094C0D">
      <w:pPr>
        <w:jc w:val="center"/>
        <w:rPr>
          <w:b/>
          <w:lang w:val="fr-CH"/>
        </w:rPr>
      </w:pPr>
      <w:bookmarkStart w:id="0" w:name="_GoBack"/>
      <w:bookmarkEnd w:id="0"/>
    </w:p>
    <w:p w:rsidR="00D95181" w:rsidRDefault="00D95181" w:rsidP="00094C0D">
      <w:pPr>
        <w:jc w:val="center"/>
        <w:rPr>
          <w:b/>
          <w:lang w:val="fr-CH"/>
        </w:rPr>
      </w:pPr>
    </w:p>
    <w:p w:rsidR="00094C0D" w:rsidRPr="00807EA8" w:rsidRDefault="00094C0D" w:rsidP="00094C0D">
      <w:pPr>
        <w:jc w:val="center"/>
        <w:rPr>
          <w:b/>
          <w:lang w:val="fr-CH"/>
        </w:rPr>
      </w:pPr>
      <w:r w:rsidRPr="00807EA8">
        <w:rPr>
          <w:b/>
          <w:lang w:val="fr-CH"/>
        </w:rPr>
        <w:t>N° 5757</w:t>
      </w:r>
    </w:p>
    <w:p w:rsidR="00094C0D" w:rsidRDefault="00094C0D" w:rsidP="00807EA8">
      <w:pPr>
        <w:pStyle w:val="Textebrut"/>
        <w:rPr>
          <w:rFonts w:ascii="Times New Roman" w:hAnsi="Times New Roman"/>
          <w:b/>
          <w:sz w:val="24"/>
          <w:szCs w:val="24"/>
          <w:lang w:val="fr-CH"/>
        </w:rPr>
      </w:pPr>
    </w:p>
    <w:p w:rsidR="00D95181" w:rsidRPr="003B6A70" w:rsidRDefault="00D95181" w:rsidP="00807EA8">
      <w:pPr>
        <w:pStyle w:val="Textebrut"/>
        <w:rPr>
          <w:rFonts w:ascii="Times New Roman" w:hAnsi="Times New Roman"/>
          <w:b/>
          <w:sz w:val="24"/>
          <w:szCs w:val="24"/>
          <w:lang w:val="fr-CH"/>
        </w:rPr>
      </w:pPr>
    </w:p>
    <w:p w:rsidR="00094C0D" w:rsidRPr="00807EA8" w:rsidRDefault="00094C0D" w:rsidP="00094C0D">
      <w:pPr>
        <w:pStyle w:val="Textebrut"/>
        <w:jc w:val="center"/>
        <w:rPr>
          <w:rFonts w:ascii="Times New Roman" w:hAnsi="Times New Roman"/>
          <w:b/>
          <w:sz w:val="24"/>
          <w:szCs w:val="24"/>
          <w:lang w:val="fr-CH"/>
        </w:rPr>
      </w:pPr>
      <w:r w:rsidRPr="00807EA8">
        <w:rPr>
          <w:rFonts w:ascii="Times New Roman" w:hAnsi="Times New Roman"/>
          <w:b/>
          <w:sz w:val="24"/>
          <w:szCs w:val="24"/>
          <w:lang w:val="fr-CH"/>
        </w:rPr>
        <w:t>Projet de loi</w:t>
      </w:r>
    </w:p>
    <w:p w:rsidR="00094C0D" w:rsidRPr="00B869A6" w:rsidRDefault="00094C0D" w:rsidP="00094C0D">
      <w:pPr>
        <w:autoSpaceDE w:val="0"/>
        <w:autoSpaceDN w:val="0"/>
        <w:adjustRightInd w:val="0"/>
        <w:jc w:val="center"/>
        <w:rPr>
          <w:b/>
          <w:bCs/>
          <w:lang w:eastAsia="en-US"/>
        </w:rPr>
      </w:pPr>
    </w:p>
    <w:p w:rsidR="00094C0D" w:rsidRDefault="00094C0D" w:rsidP="00807EA8">
      <w:pPr>
        <w:ind w:right="85"/>
        <w:jc w:val="both"/>
        <w:rPr>
          <w:b/>
          <w:bCs/>
        </w:rPr>
      </w:pPr>
      <w:r w:rsidRPr="00807EA8">
        <w:rPr>
          <w:b/>
          <w:bCs/>
        </w:rPr>
        <w:t>ayant pour objet la coopération interadministrative et judiciaire et le renforcement des moyens de l’Administration des Contributions Directes, de l’Administration de l’Enregistrement et des Domaines et de l’Administration des Douanes et Accises et portant modification de</w:t>
      </w:r>
    </w:p>
    <w:p w:rsidR="00D95181" w:rsidRPr="00807EA8" w:rsidRDefault="00D95181" w:rsidP="00807EA8">
      <w:pPr>
        <w:ind w:right="85"/>
        <w:jc w:val="both"/>
        <w:rPr>
          <w:b/>
          <w:bCs/>
        </w:rPr>
      </w:pPr>
    </w:p>
    <w:p w:rsidR="00094C0D" w:rsidRPr="00807EA8" w:rsidRDefault="00094C0D" w:rsidP="00094C0D">
      <w:pPr>
        <w:ind w:left="720" w:right="85"/>
        <w:jc w:val="both"/>
        <w:rPr>
          <w:b/>
          <w:bCs/>
        </w:rPr>
      </w:pPr>
      <w:r w:rsidRPr="00807EA8">
        <w:rPr>
          <w:b/>
          <w:bCs/>
        </w:rPr>
        <w:t>– la loi modifiée du 12 février 1979 concernant la taxe sur la valeur ajoutée;</w:t>
      </w:r>
    </w:p>
    <w:p w:rsidR="00094C0D" w:rsidRPr="00807EA8" w:rsidRDefault="00094C0D" w:rsidP="00094C0D">
      <w:pPr>
        <w:ind w:right="85" w:firstLine="720"/>
        <w:jc w:val="both"/>
        <w:rPr>
          <w:b/>
          <w:bCs/>
        </w:rPr>
      </w:pPr>
      <w:r w:rsidRPr="00807EA8">
        <w:rPr>
          <w:b/>
          <w:bCs/>
        </w:rPr>
        <w:t>– la loi générale des impôts („Abgabenordnung“);</w:t>
      </w:r>
    </w:p>
    <w:p w:rsidR="00094C0D" w:rsidRPr="00807EA8" w:rsidRDefault="00094C0D" w:rsidP="00094C0D">
      <w:pPr>
        <w:ind w:left="720" w:right="85"/>
        <w:jc w:val="both"/>
        <w:rPr>
          <w:b/>
          <w:bCs/>
        </w:rPr>
      </w:pPr>
      <w:r w:rsidRPr="00807EA8">
        <w:rPr>
          <w:b/>
          <w:bCs/>
        </w:rPr>
        <w:t>– la loi modifiée du 17 avril 1964 portant réorganisation de l’Administration des Contributions Directes;</w:t>
      </w:r>
    </w:p>
    <w:p w:rsidR="00094C0D" w:rsidRPr="00807EA8" w:rsidRDefault="00094C0D" w:rsidP="00094C0D">
      <w:pPr>
        <w:ind w:left="720" w:right="85"/>
        <w:jc w:val="both"/>
        <w:rPr>
          <w:b/>
          <w:bCs/>
        </w:rPr>
      </w:pPr>
      <w:r w:rsidRPr="00807EA8">
        <w:rPr>
          <w:b/>
          <w:bCs/>
        </w:rPr>
        <w:t>– la loi modifiée du 20 mars 1970 portant réorganisation de l’Administration de l’Enregistrement et des Domaines;</w:t>
      </w:r>
    </w:p>
    <w:p w:rsidR="00094C0D" w:rsidRPr="00807EA8" w:rsidRDefault="00094C0D" w:rsidP="00807EA8">
      <w:pPr>
        <w:ind w:left="720" w:right="85"/>
        <w:jc w:val="both"/>
        <w:rPr>
          <w:b/>
          <w:bCs/>
        </w:rPr>
      </w:pPr>
      <w:r w:rsidRPr="00807EA8">
        <w:rPr>
          <w:b/>
          <w:bCs/>
        </w:rPr>
        <w:t>– la loi modifiée du 27 novembre 1933 concernant le recouvrement des contributions directes et des cotisations d’assurance sociale</w:t>
      </w:r>
    </w:p>
    <w:p w:rsidR="00094C0D" w:rsidRDefault="00094C0D" w:rsidP="00094C0D">
      <w:pPr>
        <w:jc w:val="both"/>
        <w:rPr>
          <w:lang w:val="fr-CH"/>
        </w:rPr>
      </w:pPr>
    </w:p>
    <w:p w:rsidR="00D95181" w:rsidRDefault="00D95181" w:rsidP="00094C0D">
      <w:pPr>
        <w:jc w:val="both"/>
        <w:rPr>
          <w:lang w:val="fr-CH"/>
        </w:rPr>
      </w:pPr>
    </w:p>
    <w:p w:rsidR="00094C0D" w:rsidRPr="002541E9" w:rsidRDefault="00094C0D" w:rsidP="00094C0D">
      <w:pPr>
        <w:jc w:val="both"/>
      </w:pPr>
      <w:r w:rsidRPr="002541E9">
        <w:t>Le projet de loi sous rubrique a pour objet d’établir</w:t>
      </w:r>
      <w:r>
        <w:t xml:space="preserve"> les bases légales pour une </w:t>
      </w:r>
      <w:r w:rsidRPr="002541E9">
        <w:t>coopération intensifiée entre l’Administratio</w:t>
      </w:r>
      <w:r>
        <w:t xml:space="preserve">n des Contributions Directes et </w:t>
      </w:r>
      <w:r w:rsidRPr="002541E9">
        <w:t>l’Administration de l’Enregistrement et des Domaines</w:t>
      </w:r>
      <w:r>
        <w:t>.</w:t>
      </w:r>
      <w:r w:rsidRPr="002541E9">
        <w:t xml:space="preserve"> </w:t>
      </w:r>
    </w:p>
    <w:p w:rsidR="00094C0D" w:rsidRPr="00B869A6" w:rsidRDefault="00094C0D" w:rsidP="00094C0D">
      <w:pPr>
        <w:autoSpaceDE w:val="0"/>
        <w:autoSpaceDN w:val="0"/>
        <w:adjustRightInd w:val="0"/>
        <w:jc w:val="both"/>
        <w:rPr>
          <w:rFonts w:ascii="Times-Roman" w:hAnsi="Times-Roman" w:cs="Times-Roman"/>
          <w:sz w:val="20"/>
          <w:szCs w:val="20"/>
          <w:lang w:eastAsia="en-US"/>
        </w:rPr>
      </w:pPr>
    </w:p>
    <w:p w:rsidR="00094C0D" w:rsidRDefault="00094C0D" w:rsidP="00094C0D">
      <w:pPr>
        <w:autoSpaceDE w:val="0"/>
        <w:autoSpaceDN w:val="0"/>
        <w:adjustRightInd w:val="0"/>
        <w:jc w:val="both"/>
      </w:pPr>
      <w:r w:rsidRPr="002541E9">
        <w:t>Il fait partie d’un ensemble de mesures visant à améliorer sur le plan national les capacités d’actions des deux administrations dans la lutte contre l’évasion et la fraude fiscale</w:t>
      </w:r>
      <w:r>
        <w:t>s</w:t>
      </w:r>
      <w:r w:rsidRPr="002541E9">
        <w:t>. Il s’agit de renforcer le dispositif légal afin de permettre un échange d’informations efficace entre ces administrations en vue de la détermination surtout des impôts budgétairement les plus importants, à savoir l’impôt sur le revenu, l’impôt sur</w:t>
      </w:r>
      <w:r>
        <w:t xml:space="preserve"> </w:t>
      </w:r>
      <w:r w:rsidRPr="002541E9">
        <w:t>le revenu des collectivités, la T</w:t>
      </w:r>
      <w:r>
        <w:t>V</w:t>
      </w:r>
      <w:r w:rsidRPr="002541E9">
        <w:t>A et les droits d’enregistrement</w:t>
      </w:r>
      <w:r>
        <w:t xml:space="preserve">. A noter que l’Administration des Douanes et Accises est également pleinement associée à la coopération avec </w:t>
      </w:r>
      <w:r w:rsidRPr="002541E9">
        <w:t>l’Administration de l’Enregistrement et des Domaines</w:t>
      </w:r>
      <w:r>
        <w:t>.</w:t>
      </w:r>
    </w:p>
    <w:p w:rsidR="00094C0D" w:rsidRDefault="00094C0D" w:rsidP="00094C0D">
      <w:pPr>
        <w:jc w:val="both"/>
      </w:pPr>
    </w:p>
    <w:p w:rsidR="00807EA8" w:rsidRDefault="00094C0D" w:rsidP="00094C0D">
      <w:pPr>
        <w:jc w:val="both"/>
      </w:pPr>
      <w:r>
        <w:t xml:space="preserve">Notons que l’une des </w:t>
      </w:r>
      <w:r w:rsidRPr="0073348B">
        <w:t xml:space="preserve">finalités primaires </w:t>
      </w:r>
      <w:r>
        <w:t xml:space="preserve">de </w:t>
      </w:r>
      <w:r w:rsidRPr="0073348B">
        <w:t>la coopération entre les</w:t>
      </w:r>
      <w:r>
        <w:t xml:space="preserve"> administrations fiscales consiste à garantir</w:t>
      </w:r>
      <w:r w:rsidRPr="0073348B">
        <w:t xml:space="preserve"> </w:t>
      </w:r>
      <w:r>
        <w:t>le</w:t>
      </w:r>
      <w:r w:rsidRPr="0073348B">
        <w:t xml:space="preserve"> principe de l’égalité des citoyens et des entreprises</w:t>
      </w:r>
      <w:r>
        <w:t xml:space="preserve"> devant l’impôt. A cet effet le</w:t>
      </w:r>
      <w:r w:rsidRPr="0073348B">
        <w:t xml:space="preserve"> champ d’application de l’échange d’informations est</w:t>
      </w:r>
      <w:r>
        <w:t xml:space="preserve"> </w:t>
      </w:r>
      <w:r w:rsidRPr="0073348B">
        <w:t>élargi à d’autres acteurs étatiques/personnes morales de droit public</w:t>
      </w:r>
      <w:r>
        <w:t>.</w:t>
      </w:r>
      <w:r w:rsidRPr="0073348B">
        <w:t xml:space="preserve"> </w:t>
      </w:r>
      <w:r w:rsidRPr="00EA66AF">
        <w:t>Ainsi, le projet de loi crée également le cadre légal pour un échange de données entre les administrations fiscales, d’un côté, et l’Inspection Générale de la Sécurité</w:t>
      </w:r>
      <w:r>
        <w:t xml:space="preserve"> </w:t>
      </w:r>
      <w:r w:rsidRPr="00EA66AF">
        <w:t xml:space="preserve">Sociale, le STATEC, le Centre Commun de la Sécurité Sociale, </w:t>
      </w:r>
      <w:r>
        <w:t xml:space="preserve">le Ministère des Transports, la </w:t>
      </w:r>
      <w:r w:rsidRPr="00EA66AF">
        <w:t>Caisse</w:t>
      </w:r>
      <w:r>
        <w:t xml:space="preserve"> </w:t>
      </w:r>
      <w:r w:rsidRPr="00EA66AF">
        <w:t xml:space="preserve">Nationale des Prestations Familiales, le </w:t>
      </w:r>
      <w:r>
        <w:t xml:space="preserve">Fonds National de Solidarité et </w:t>
      </w:r>
      <w:r w:rsidRPr="00EA66AF">
        <w:t>l’Inspection du Travail et des</w:t>
      </w:r>
      <w:r>
        <w:t xml:space="preserve"> </w:t>
      </w:r>
      <w:r w:rsidRPr="00EA66AF">
        <w:t>Mines de l’autre côté</w:t>
      </w:r>
      <w:r>
        <w:t xml:space="preserve">. </w:t>
      </w:r>
      <w:r w:rsidRPr="00EA66AF">
        <w:t xml:space="preserve">En </w:t>
      </w:r>
      <w:r w:rsidR="00807EA8">
        <w:t>effet</w:t>
      </w:r>
      <w:r w:rsidRPr="00EA66AF">
        <w:t>, ces administrations détiennent des informations nécessaires à l’établissement correct et au recouvrement des différents impôts et taxes relevant des compétences des administrations fiscales.</w:t>
      </w:r>
      <w:r>
        <w:t xml:space="preserve"> </w:t>
      </w:r>
    </w:p>
    <w:p w:rsidR="00807EA8" w:rsidRDefault="00807EA8" w:rsidP="00094C0D">
      <w:pPr>
        <w:jc w:val="both"/>
      </w:pPr>
    </w:p>
    <w:p w:rsidR="00094C0D" w:rsidRPr="004F65EB" w:rsidRDefault="00094C0D" w:rsidP="00094C0D">
      <w:pPr>
        <w:jc w:val="both"/>
      </w:pPr>
      <w:r w:rsidRPr="004F65EB">
        <w:t xml:space="preserve">A noter </w:t>
      </w:r>
      <w:r w:rsidR="00807EA8">
        <w:t>que ces</w:t>
      </w:r>
      <w:r w:rsidRPr="004F65EB">
        <w:t xml:space="preserve"> échange</w:t>
      </w:r>
      <w:r w:rsidR="00807EA8">
        <w:t>s</w:t>
      </w:r>
      <w:r>
        <w:t xml:space="preserve"> de données</w:t>
      </w:r>
      <w:r w:rsidR="00807EA8">
        <w:t xml:space="preserve"> se fon</w:t>
      </w:r>
      <w:r w:rsidRPr="004F65EB">
        <w:t>t dans</w:t>
      </w:r>
      <w:r>
        <w:t xml:space="preserve"> </w:t>
      </w:r>
      <w:r w:rsidRPr="004F65EB">
        <w:t>des conditions conformes à la loi modifiée du 2 août 2002 relative à la protection des personnes à</w:t>
      </w:r>
      <w:r>
        <w:t xml:space="preserve"> </w:t>
      </w:r>
      <w:r w:rsidRPr="004F65EB">
        <w:t>l’égard du traitement des données à caractère personnel</w:t>
      </w:r>
      <w:r>
        <w:t>.</w:t>
      </w:r>
    </w:p>
    <w:p w:rsidR="00094C0D" w:rsidRDefault="00094C0D" w:rsidP="00094C0D"/>
    <w:p w:rsidR="00850318" w:rsidRDefault="00850318" w:rsidP="00094C0D">
      <w:pPr>
        <w:jc w:val="both"/>
      </w:pPr>
    </w:p>
    <w:sectPr w:rsidR="00850318" w:rsidSect="00807EA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C0D"/>
    <w:rsid w:val="00092360"/>
    <w:rsid w:val="00094C0D"/>
    <w:rsid w:val="00807EA8"/>
    <w:rsid w:val="00850318"/>
    <w:rsid w:val="00A5086F"/>
    <w:rsid w:val="00B869A6"/>
    <w:rsid w:val="00D9518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0B163B-6C01-45F2-AE93-E8F0BD6A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C0D"/>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094C0D"/>
    <w:pPr>
      <w:jc w:val="both"/>
    </w:pPr>
    <w:rPr>
      <w:rFonts w:ascii="Courier New" w:hAnsi="Courier New"/>
      <w:sz w:val="20"/>
      <w:szCs w:val="20"/>
      <w:lang w:val="fr-FR" w:eastAsia="fr-FR"/>
    </w:rPr>
  </w:style>
  <w:style w:type="character" w:customStyle="1" w:styleId="TextebrutCar">
    <w:name w:val="Texte brut Car"/>
    <w:basedOn w:val="Policepardfaut"/>
    <w:link w:val="Textebrut"/>
    <w:rsid w:val="00094C0D"/>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B5BDAB2-C126-453A-8645-9135E9E6581A}"/>
</file>

<file path=customXml/itemProps2.xml><?xml version="1.0" encoding="utf-8"?>
<ds:datastoreItem xmlns:ds="http://schemas.openxmlformats.org/officeDocument/2006/customXml" ds:itemID="{10007746-7CD8-49BE-8DBA-2FA5890B6DF8}"/>
</file>

<file path=customXml/itemProps3.xml><?xml version="1.0" encoding="utf-8"?>
<ds:datastoreItem xmlns:ds="http://schemas.openxmlformats.org/officeDocument/2006/customXml" ds:itemID="{B639F462-B20D-4E05-8E85-E87BD2FDCAE3}"/>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2360</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