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45" w:rsidRPr="00A836B5" w:rsidRDefault="00726485" w:rsidP="000242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836B5">
        <w:rPr>
          <w:rFonts w:ascii="Arial" w:hAnsi="Arial" w:cs="Arial"/>
          <w:b/>
          <w:sz w:val="22"/>
          <w:szCs w:val="22"/>
          <w:u w:val="single"/>
        </w:rPr>
        <w:t>Résumé des projets de loi 5752, 5753 et 5841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C526F" w:rsidRDefault="00726485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>Les trois projets de loi ont pour objet l’approbation d’accord</w:t>
      </w:r>
      <w:r w:rsidR="00EB5198" w:rsidRPr="00A836B5">
        <w:rPr>
          <w:rFonts w:ascii="Arial" w:hAnsi="Arial" w:cs="Arial"/>
          <w:sz w:val="22"/>
          <w:szCs w:val="22"/>
        </w:rPr>
        <w:t>s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 xml:space="preserve">bilatéraux conclus </w:t>
      </w:r>
      <w:r w:rsidRPr="00A836B5">
        <w:rPr>
          <w:rFonts w:ascii="Arial" w:hAnsi="Arial" w:cs="Arial"/>
          <w:sz w:val="22"/>
          <w:szCs w:val="22"/>
        </w:rPr>
        <w:t xml:space="preserve">entre le Gouvernement luxembourgeois et </w:t>
      </w:r>
      <w:r w:rsidR="007C526F">
        <w:rPr>
          <w:rFonts w:ascii="Arial" w:hAnsi="Arial" w:cs="Arial"/>
          <w:sz w:val="22"/>
          <w:szCs w:val="22"/>
        </w:rPr>
        <w:t xml:space="preserve">le Gouvernement </w:t>
      </w:r>
      <w:r w:rsidR="00704B77">
        <w:rPr>
          <w:rFonts w:ascii="Arial" w:hAnsi="Arial" w:cs="Arial"/>
          <w:sz w:val="22"/>
          <w:szCs w:val="22"/>
        </w:rPr>
        <w:t>français</w:t>
      </w:r>
      <w:r w:rsidRPr="00A836B5">
        <w:rPr>
          <w:rFonts w:ascii="Arial" w:hAnsi="Arial" w:cs="Arial"/>
          <w:sz w:val="22"/>
          <w:szCs w:val="22"/>
        </w:rPr>
        <w:t xml:space="preserve">, </w:t>
      </w:r>
      <w:r w:rsidR="00704B77">
        <w:rPr>
          <w:rFonts w:ascii="Arial" w:hAnsi="Arial" w:cs="Arial"/>
          <w:sz w:val="22"/>
          <w:szCs w:val="22"/>
        </w:rPr>
        <w:t>le Gouvernement allemand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respectivement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  <w:r w:rsidR="00704B77">
        <w:rPr>
          <w:rFonts w:ascii="Arial" w:hAnsi="Arial" w:cs="Arial"/>
          <w:sz w:val="22"/>
          <w:szCs w:val="22"/>
        </w:rPr>
        <w:t>le Gouvernement letton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qui créent</w:t>
      </w:r>
      <w:r w:rsidR="00EB5198" w:rsidRPr="00A836B5">
        <w:rPr>
          <w:rFonts w:ascii="Arial" w:hAnsi="Arial" w:cs="Arial"/>
          <w:sz w:val="22"/>
          <w:szCs w:val="22"/>
        </w:rPr>
        <w:t xml:space="preserve"> le cadre juridique pour l’échange et </w:t>
      </w:r>
      <w:r w:rsidRPr="00A836B5">
        <w:rPr>
          <w:rFonts w:ascii="Arial" w:hAnsi="Arial" w:cs="Arial"/>
          <w:sz w:val="22"/>
          <w:szCs w:val="22"/>
        </w:rPr>
        <w:t>la protection réciproque des informations classifiées.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</w:p>
    <w:p w:rsidR="007C526F" w:rsidRPr="007C526F" w:rsidRDefault="007C526F" w:rsidP="00A836B5">
      <w:pPr>
        <w:jc w:val="both"/>
        <w:rPr>
          <w:rFonts w:ascii="Arial" w:hAnsi="Arial" w:cs="Arial"/>
          <w:sz w:val="22"/>
          <w:szCs w:val="22"/>
        </w:rPr>
      </w:pPr>
    </w:p>
    <w:p w:rsidR="00EB5198" w:rsidRPr="007C526F" w:rsidRDefault="00704B77" w:rsidP="00A836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relever que l</w:t>
      </w:r>
      <w:r w:rsidR="00EB5198" w:rsidRPr="007C526F">
        <w:rPr>
          <w:rFonts w:ascii="Arial" w:hAnsi="Arial" w:cs="Arial"/>
          <w:sz w:val="22"/>
          <w:szCs w:val="22"/>
        </w:rPr>
        <w:t xml:space="preserve">e Luxembourg n’était pas en mesure de conclure </w:t>
      </w:r>
      <w:r w:rsidR="00A836B5" w:rsidRPr="007C526F">
        <w:rPr>
          <w:rFonts w:ascii="Arial" w:hAnsi="Arial" w:cs="Arial"/>
          <w:sz w:val="22"/>
          <w:szCs w:val="22"/>
        </w:rPr>
        <w:t>de</w:t>
      </w:r>
      <w:r w:rsidR="00EB5198" w:rsidRPr="007C526F">
        <w:rPr>
          <w:rFonts w:ascii="Arial" w:hAnsi="Arial" w:cs="Arial"/>
          <w:sz w:val="22"/>
          <w:szCs w:val="22"/>
        </w:rPr>
        <w:t xml:space="preserve"> tel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accord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bilatéra</w:t>
      </w:r>
      <w:r w:rsidR="00A836B5" w:rsidRPr="007C526F">
        <w:rPr>
          <w:rFonts w:ascii="Arial" w:hAnsi="Arial" w:cs="Arial"/>
          <w:sz w:val="22"/>
          <w:szCs w:val="22"/>
        </w:rPr>
        <w:t>ux</w:t>
      </w:r>
      <w:r w:rsidR="00EB5198" w:rsidRPr="007C526F">
        <w:rPr>
          <w:rFonts w:ascii="Arial" w:hAnsi="Arial" w:cs="Arial"/>
          <w:sz w:val="22"/>
          <w:szCs w:val="22"/>
        </w:rPr>
        <w:t xml:space="preserve"> </w:t>
      </w:r>
      <w:r w:rsidR="00A836B5" w:rsidRPr="007C526F">
        <w:rPr>
          <w:rFonts w:ascii="Arial" w:hAnsi="Arial" w:cs="Arial"/>
          <w:sz w:val="22"/>
          <w:szCs w:val="22"/>
        </w:rPr>
        <w:t xml:space="preserve">avant l’adoption de </w:t>
      </w:r>
      <w:r w:rsidR="00D47EE1">
        <w:rPr>
          <w:rFonts w:ascii="Arial" w:hAnsi="Arial" w:cs="Arial"/>
          <w:sz w:val="22"/>
          <w:szCs w:val="22"/>
        </w:rPr>
        <w:t xml:space="preserve">la </w:t>
      </w:r>
      <w:r w:rsidR="00A836B5" w:rsidRPr="007C526F">
        <w:rPr>
          <w:rFonts w:ascii="Arial" w:hAnsi="Arial" w:cs="Arial"/>
          <w:sz w:val="22"/>
          <w:szCs w:val="22"/>
        </w:rPr>
        <w:t>loi du 15 juin 2004 relative à la classification des pièces et aux habilitations de sécurité</w:t>
      </w:r>
      <w:r>
        <w:rPr>
          <w:rFonts w:ascii="Arial" w:hAnsi="Arial" w:cs="Arial"/>
          <w:sz w:val="22"/>
          <w:szCs w:val="22"/>
        </w:rPr>
        <w:t>,</w:t>
      </w:r>
      <w:r w:rsidR="00A836B5" w:rsidRPr="007C526F">
        <w:rPr>
          <w:rFonts w:ascii="Arial" w:hAnsi="Arial" w:cs="Arial"/>
          <w:sz w:val="22"/>
          <w:szCs w:val="22"/>
        </w:rPr>
        <w:t xml:space="preserve"> </w:t>
      </w:r>
      <w:r w:rsidR="00EB5198" w:rsidRPr="007C526F">
        <w:rPr>
          <w:rFonts w:ascii="Arial" w:hAnsi="Arial" w:cs="Arial"/>
          <w:sz w:val="22"/>
          <w:szCs w:val="22"/>
        </w:rPr>
        <w:t xml:space="preserve">faute de législation nationale servant d’ossature à la protection des documents classifiés transmis au Luxembourg par l’autre partie. </w:t>
      </w: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</w:p>
    <w:p w:rsidR="00A836B5" w:rsidRDefault="00A836B5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L’Europe </w:t>
      </w:r>
      <w:r w:rsidR="007C526F">
        <w:rPr>
          <w:rFonts w:ascii="Arial" w:hAnsi="Arial" w:cs="Arial"/>
          <w:sz w:val="22"/>
          <w:szCs w:val="22"/>
        </w:rPr>
        <w:t>est</w:t>
      </w:r>
      <w:r w:rsidRPr="00A836B5">
        <w:rPr>
          <w:rFonts w:ascii="Arial" w:hAnsi="Arial" w:cs="Arial"/>
          <w:sz w:val="22"/>
          <w:szCs w:val="22"/>
        </w:rPr>
        <w:t xml:space="preserve"> confrontée à de nouvelles menaces</w:t>
      </w:r>
      <w:r w:rsidR="007C526F">
        <w:rPr>
          <w:rFonts w:ascii="Arial" w:hAnsi="Arial" w:cs="Arial"/>
          <w:sz w:val="22"/>
          <w:szCs w:val="22"/>
        </w:rPr>
        <w:t>, comme</w:t>
      </w:r>
      <w:r w:rsidRPr="00A836B5">
        <w:rPr>
          <w:rFonts w:ascii="Arial" w:hAnsi="Arial" w:cs="Arial"/>
          <w:sz w:val="22"/>
          <w:szCs w:val="22"/>
        </w:rPr>
        <w:t xml:space="preserve"> le terrorisme, la prolifération des armes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de destruction massive</w:t>
      </w:r>
      <w:r w:rsidR="007C526F">
        <w:rPr>
          <w:rFonts w:ascii="Arial" w:hAnsi="Arial" w:cs="Arial"/>
          <w:sz w:val="22"/>
          <w:szCs w:val="22"/>
        </w:rPr>
        <w:t xml:space="preserve"> ou encore</w:t>
      </w:r>
      <w:r w:rsidRPr="00A836B5">
        <w:rPr>
          <w:rFonts w:ascii="Arial" w:hAnsi="Arial" w:cs="Arial"/>
          <w:sz w:val="22"/>
          <w:szCs w:val="22"/>
        </w:rPr>
        <w:t xml:space="preserve"> la criminalité organisée.</w:t>
      </w:r>
      <w:r w:rsidR="007C526F">
        <w:rPr>
          <w:rFonts w:ascii="Arial" w:hAnsi="Arial" w:cs="Arial"/>
          <w:sz w:val="22"/>
          <w:szCs w:val="22"/>
        </w:rPr>
        <w:t xml:space="preserve"> D</w:t>
      </w:r>
      <w:r w:rsidRPr="00A836B5">
        <w:rPr>
          <w:rFonts w:ascii="Arial" w:hAnsi="Arial" w:cs="Arial"/>
          <w:sz w:val="22"/>
          <w:szCs w:val="22"/>
        </w:rPr>
        <w:t>ans le registre des menaces qui pèsent sur le patrimoine économique et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financier du pays, il convient de mentionner l’espionnage industriel et technologique</w:t>
      </w:r>
      <w:r w:rsidR="007C526F">
        <w:rPr>
          <w:rFonts w:ascii="Arial" w:hAnsi="Arial" w:cs="Arial"/>
          <w:sz w:val="22"/>
          <w:szCs w:val="22"/>
        </w:rPr>
        <w:t>. En effet, l</w:t>
      </w:r>
      <w:r w:rsidRPr="00A836B5">
        <w:rPr>
          <w:rFonts w:ascii="Arial" w:hAnsi="Arial" w:cs="Arial"/>
          <w:sz w:val="22"/>
          <w:szCs w:val="22"/>
        </w:rPr>
        <w:t xml:space="preserve">a sécurité </w:t>
      </w:r>
      <w:r w:rsidR="007C526F">
        <w:rPr>
          <w:rFonts w:ascii="Arial" w:hAnsi="Arial" w:cs="Arial"/>
          <w:sz w:val="22"/>
          <w:szCs w:val="22"/>
        </w:rPr>
        <w:t>de tout pays est</w:t>
      </w:r>
      <w:r w:rsidRPr="00A836B5">
        <w:rPr>
          <w:rFonts w:ascii="Arial" w:hAnsi="Arial" w:cs="Arial"/>
          <w:sz w:val="22"/>
          <w:szCs w:val="22"/>
        </w:rPr>
        <w:t xml:space="preserve"> étroitement liée à la protection de son patrimoine économique,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industriel, scientifique et financier.</w:t>
      </w:r>
      <w:r w:rsidR="007C526F">
        <w:rPr>
          <w:rFonts w:ascii="Arial" w:hAnsi="Arial" w:cs="Arial"/>
          <w:sz w:val="22"/>
          <w:szCs w:val="22"/>
        </w:rPr>
        <w:t xml:space="preserve"> 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6B5" w:rsidRPr="00A836B5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loi </w:t>
      </w:r>
      <w:r w:rsidR="00704B77">
        <w:rPr>
          <w:rFonts w:ascii="Arial" w:hAnsi="Arial" w:cs="Arial"/>
          <w:sz w:val="22"/>
          <w:szCs w:val="22"/>
        </w:rPr>
        <w:t>de 2004</w:t>
      </w:r>
      <w:r w:rsidR="00A836B5" w:rsidRPr="00A836B5">
        <w:rPr>
          <w:rFonts w:ascii="Arial" w:hAnsi="Arial" w:cs="Arial"/>
          <w:sz w:val="22"/>
          <w:szCs w:val="22"/>
        </w:rPr>
        <w:t xml:space="preserve"> accorde </w:t>
      </w:r>
      <w:r w:rsidR="00704B77">
        <w:rPr>
          <w:rFonts w:ascii="Arial" w:hAnsi="Arial" w:cs="Arial"/>
          <w:sz w:val="22"/>
          <w:szCs w:val="22"/>
        </w:rPr>
        <w:t>à des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 w:rsidRPr="00A836B5">
        <w:rPr>
          <w:rFonts w:ascii="Arial" w:hAnsi="Arial" w:cs="Arial"/>
          <w:sz w:val="22"/>
          <w:szCs w:val="22"/>
        </w:rPr>
        <w:t xml:space="preserve">énumérées </w:t>
      </w:r>
      <w:r w:rsidR="00A836B5" w:rsidRPr="00A836B5">
        <w:rPr>
          <w:rFonts w:ascii="Arial" w:hAnsi="Arial" w:cs="Arial"/>
          <w:sz w:val="22"/>
          <w:szCs w:val="22"/>
        </w:rPr>
        <w:t>limitativement le droit de procéder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à la classification, la </w:t>
      </w:r>
      <w:proofErr w:type="spellStart"/>
      <w:r w:rsidR="00A836B5" w:rsidRPr="00A836B5">
        <w:rPr>
          <w:rFonts w:ascii="Arial" w:hAnsi="Arial" w:cs="Arial"/>
          <w:sz w:val="22"/>
          <w:szCs w:val="22"/>
        </w:rPr>
        <w:t>déclassification</w:t>
      </w:r>
      <w:proofErr w:type="spellEnd"/>
      <w:r w:rsidR="00A836B5" w:rsidRPr="00A836B5">
        <w:rPr>
          <w:rFonts w:ascii="Arial" w:hAnsi="Arial" w:cs="Arial"/>
          <w:sz w:val="22"/>
          <w:szCs w:val="22"/>
        </w:rPr>
        <w:t xml:space="preserve"> et au déclassement de pièces</w:t>
      </w:r>
      <w:r>
        <w:rPr>
          <w:rFonts w:ascii="Arial" w:hAnsi="Arial" w:cs="Arial"/>
          <w:sz w:val="22"/>
          <w:szCs w:val="22"/>
        </w:rPr>
        <w:t xml:space="preserve"> et </w:t>
      </w:r>
      <w:r w:rsidR="00A836B5" w:rsidRPr="00A836B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’</w:t>
      </w:r>
      <w:r w:rsidR="00A836B5" w:rsidRPr="00A836B5">
        <w:rPr>
          <w:rFonts w:ascii="Arial" w:hAnsi="Arial" w:cs="Arial"/>
          <w:sz w:val="22"/>
          <w:szCs w:val="22"/>
        </w:rPr>
        <w:t>informations de nature politique,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militaire, économique ou technique.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4B77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>
        <w:rPr>
          <w:rFonts w:ascii="Arial" w:hAnsi="Arial" w:cs="Arial"/>
          <w:sz w:val="22"/>
          <w:szCs w:val="22"/>
        </w:rPr>
        <w:t xml:space="preserve">compétentes </w:t>
      </w:r>
      <w:r w:rsidR="00A836B5" w:rsidRPr="00A836B5">
        <w:rPr>
          <w:rFonts w:ascii="Arial" w:hAnsi="Arial" w:cs="Arial"/>
          <w:sz w:val="22"/>
          <w:szCs w:val="22"/>
        </w:rPr>
        <w:t>doivent s’assurer de la protection, notamment physique de ces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pièces, </w:t>
      </w:r>
      <w:r>
        <w:rPr>
          <w:rFonts w:ascii="Arial" w:hAnsi="Arial" w:cs="Arial"/>
          <w:sz w:val="22"/>
          <w:szCs w:val="22"/>
        </w:rPr>
        <w:t>à</w:t>
      </w:r>
      <w:r w:rsidR="00A836B5" w:rsidRPr="00A836B5">
        <w:rPr>
          <w:rFonts w:ascii="Arial" w:hAnsi="Arial" w:cs="Arial"/>
          <w:sz w:val="22"/>
          <w:szCs w:val="22"/>
        </w:rPr>
        <w:t xml:space="preserve"> l’occasion de leur transmission à des autorités étrangères de même que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celles-ci doivent être rassurées sur la protection par le Luxembourg de leurs propres pièces classifiées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qu’elles passent aux autorités</w:t>
      </w:r>
      <w:r>
        <w:rPr>
          <w:rFonts w:ascii="Arial" w:hAnsi="Arial" w:cs="Arial"/>
          <w:sz w:val="22"/>
          <w:szCs w:val="22"/>
        </w:rPr>
        <w:t xml:space="preserve"> luxembourgeoises</w:t>
      </w:r>
      <w:r w:rsidR="00A836B5" w:rsidRPr="00A836B5">
        <w:rPr>
          <w:rFonts w:ascii="Arial" w:hAnsi="Arial" w:cs="Arial"/>
          <w:sz w:val="22"/>
          <w:szCs w:val="22"/>
        </w:rPr>
        <w:t>.</w:t>
      </w:r>
      <w:r w:rsidR="00051562">
        <w:rPr>
          <w:rFonts w:ascii="Arial" w:hAnsi="Arial" w:cs="Arial"/>
          <w:sz w:val="22"/>
          <w:szCs w:val="22"/>
        </w:rPr>
        <w:t xml:space="preserve"> </w:t>
      </w:r>
    </w:p>
    <w:p w:rsidR="00704B77" w:rsidRDefault="00704B77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Les accords régissent en outre les visites des installations d’une des parties ainsi que les contrats classés dans lequel un cocontractant est amené </w:t>
      </w:r>
      <w:r w:rsidR="00A836B5" w:rsidRPr="00A836B5">
        <w:rPr>
          <w:rFonts w:ascii="Arial" w:hAnsi="Arial" w:cs="Arial"/>
          <w:sz w:val="22"/>
          <w:szCs w:val="22"/>
        </w:rPr>
        <w:t xml:space="preserve">à l’occasion de la passation du contrat ou de son exécution à connaître et à détenir dans ses locaux des informations ou supports protégés. 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04B77" w:rsidRPr="00A836B5" w:rsidRDefault="00704B77" w:rsidP="00704B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revanche, ne sont pas visées</w:t>
      </w:r>
      <w:r w:rsidRPr="00A836B5">
        <w:rPr>
          <w:rFonts w:ascii="Arial" w:hAnsi="Arial" w:cs="Arial"/>
          <w:sz w:val="22"/>
          <w:szCs w:val="22"/>
        </w:rPr>
        <w:t xml:space="preserve"> des pièces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 xml:space="preserve">classifiées </w:t>
      </w:r>
      <w:r>
        <w:rPr>
          <w:rFonts w:ascii="Arial" w:hAnsi="Arial" w:cs="Arial"/>
          <w:sz w:val="22"/>
          <w:szCs w:val="22"/>
        </w:rPr>
        <w:t>qui tomben</w:t>
      </w:r>
      <w:r w:rsidRPr="00A836B5">
        <w:rPr>
          <w:rFonts w:ascii="Arial" w:hAnsi="Arial" w:cs="Arial"/>
          <w:sz w:val="22"/>
          <w:szCs w:val="22"/>
        </w:rPr>
        <w:t>t sous l’empire d’un régime de protection qui leur est propre, généralement dans un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cadre multilatéral (OTAN, UE, …).</w:t>
      </w:r>
    </w:p>
    <w:p w:rsidR="00704B77" w:rsidRPr="00A836B5" w:rsidRDefault="00704B77" w:rsidP="00704B77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sectPr w:rsidR="00433AAA" w:rsidRPr="00A8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A84"/>
    <w:rsid w:val="000242DC"/>
    <w:rsid w:val="00051562"/>
    <w:rsid w:val="00215B45"/>
    <w:rsid w:val="003E3CC5"/>
    <w:rsid w:val="003F39C4"/>
    <w:rsid w:val="00421E19"/>
    <w:rsid w:val="00433AAA"/>
    <w:rsid w:val="00590A84"/>
    <w:rsid w:val="00704B77"/>
    <w:rsid w:val="00726485"/>
    <w:rsid w:val="007C526F"/>
    <w:rsid w:val="00A836B5"/>
    <w:rsid w:val="00D04CA3"/>
    <w:rsid w:val="00D47EE1"/>
    <w:rsid w:val="00EB5198"/>
    <w:rsid w:val="00E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303C02-0864-455B-BD28-76D520E5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DP5752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5752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/sftpecos/Dossiers_parlementaires/5752/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2FBC33B-1A2A-4C12-B225-50BD96645A40}"/>
</file>

<file path=customXml/itemProps2.xml><?xml version="1.0" encoding="utf-8"?>
<ds:datastoreItem xmlns:ds="http://schemas.openxmlformats.org/officeDocument/2006/customXml" ds:itemID="{AB5CA821-74D7-4BFD-B603-BFE4AEB98427}"/>
</file>

<file path=customXml/itemProps3.xml><?xml version="1.0" encoding="utf-8"?>
<ds:datastoreItem xmlns:ds="http://schemas.openxmlformats.org/officeDocument/2006/customXml" ds:itemID="{E1307B74-A780-4BA4-BE9B-3C0C73B58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des projets de loi 5752, 5753 et 5841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cp:lastModifiedBy>SYSTEM</cp:lastModifiedBy>
  <cp:revision>2</cp:revision>
  <cp:lastPrinted>2008-11-12T13:31:00Z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