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A5" w:rsidRPr="002405A7" w:rsidRDefault="00EE25A5" w:rsidP="00EE25A5">
      <w:pPr>
        <w:jc w:val="center"/>
        <w:rPr>
          <w:b/>
          <w:lang w:val="fr-LU" w:eastAsia="en-US"/>
        </w:rPr>
      </w:pPr>
      <w:bookmarkStart w:id="0" w:name="_GoBack"/>
      <w:bookmarkEnd w:id="0"/>
      <w:r w:rsidRPr="002405A7">
        <w:rPr>
          <w:b/>
          <w:lang w:val="fr-LU" w:eastAsia="en-US"/>
        </w:rPr>
        <w:t>N° 5709</w:t>
      </w:r>
    </w:p>
    <w:p w:rsidR="00EE25A5" w:rsidRPr="002405A7" w:rsidRDefault="00EE25A5" w:rsidP="00EE25A5">
      <w:pPr>
        <w:jc w:val="center"/>
        <w:rPr>
          <w:b/>
          <w:lang w:eastAsia="en-US"/>
        </w:rPr>
      </w:pPr>
    </w:p>
    <w:p w:rsidR="002405A7" w:rsidRPr="002405A7" w:rsidRDefault="002405A7" w:rsidP="00EE25A5">
      <w:pPr>
        <w:jc w:val="center"/>
        <w:rPr>
          <w:b/>
          <w:lang w:eastAsia="en-US"/>
        </w:rPr>
      </w:pPr>
    </w:p>
    <w:p w:rsidR="00EE25A5" w:rsidRPr="002405A7" w:rsidRDefault="00EE25A5" w:rsidP="00EE25A5">
      <w:pPr>
        <w:jc w:val="center"/>
        <w:rPr>
          <w:b/>
          <w:lang w:val="fr-LU" w:eastAsia="en-US"/>
        </w:rPr>
      </w:pPr>
      <w:r w:rsidRPr="002405A7">
        <w:rPr>
          <w:b/>
          <w:lang w:val="fr-LU" w:eastAsia="en-US"/>
        </w:rPr>
        <w:t>PROJET DE LOI</w:t>
      </w:r>
    </w:p>
    <w:p w:rsidR="00EE25A5" w:rsidRPr="002405A7" w:rsidRDefault="00EE25A5" w:rsidP="00EE25A5">
      <w:pPr>
        <w:jc w:val="center"/>
        <w:rPr>
          <w:b/>
          <w:lang w:val="fr-LU" w:eastAsia="en-US"/>
        </w:rPr>
      </w:pPr>
    </w:p>
    <w:p w:rsidR="00EE25A5" w:rsidRPr="002405A7" w:rsidRDefault="00EE25A5" w:rsidP="00EE25A5">
      <w:pPr>
        <w:tabs>
          <w:tab w:val="left" w:pos="7380"/>
          <w:tab w:val="left" w:pos="7560"/>
        </w:tabs>
        <w:ind w:left="1620" w:right="1152"/>
        <w:jc w:val="both"/>
        <w:rPr>
          <w:b/>
          <w:bCs/>
        </w:rPr>
      </w:pPr>
      <w:r w:rsidRPr="002405A7">
        <w:rPr>
          <w:b/>
          <w:bCs/>
        </w:rPr>
        <w:t>portant transposition de la directive 2002/30/CE du Parlement européen et du Conseil du 26 mars 2002 relative à l’établissement de règles et de procédures concernant l’introduction de restrictions d’exploitation liées au bruit dans les aéroports de la Communauté</w:t>
      </w:r>
    </w:p>
    <w:p w:rsidR="00EE25A5" w:rsidRPr="002405A7" w:rsidRDefault="00EE25A5" w:rsidP="00EE25A5">
      <w:pPr>
        <w:jc w:val="center"/>
        <w:rPr>
          <w:b/>
        </w:rPr>
      </w:pPr>
    </w:p>
    <w:p w:rsidR="00EE25A5" w:rsidRPr="002405A7" w:rsidRDefault="00EE25A5" w:rsidP="00EE25A5">
      <w:pPr>
        <w:jc w:val="center"/>
        <w:rPr>
          <w:b/>
          <w:lang w:val="fr-LU"/>
        </w:rPr>
      </w:pPr>
      <w:r w:rsidRPr="002405A7">
        <w:rPr>
          <w:b/>
          <w:lang w:val="fr-LU"/>
        </w:rPr>
        <w:t>*</w:t>
      </w:r>
      <w:r w:rsidR="002405A7">
        <w:rPr>
          <w:b/>
          <w:lang w:val="fr-LU"/>
        </w:rPr>
        <w:t xml:space="preserve">  </w:t>
      </w:r>
      <w:r w:rsidRPr="002405A7">
        <w:rPr>
          <w:b/>
          <w:lang w:val="fr-LU"/>
        </w:rPr>
        <w:t>*</w:t>
      </w:r>
      <w:r w:rsidR="002405A7">
        <w:rPr>
          <w:b/>
          <w:lang w:val="fr-LU"/>
        </w:rPr>
        <w:t xml:space="preserve">  </w:t>
      </w:r>
      <w:r w:rsidRPr="002405A7">
        <w:rPr>
          <w:b/>
          <w:lang w:val="fr-LU"/>
        </w:rPr>
        <w:t>*</w:t>
      </w:r>
    </w:p>
    <w:p w:rsidR="00EE25A5" w:rsidRPr="002405A7" w:rsidRDefault="00EE25A5" w:rsidP="00EE25A5">
      <w:pPr>
        <w:rPr>
          <w:lang w:val="fr-LU"/>
        </w:rPr>
      </w:pPr>
    </w:p>
    <w:p w:rsidR="00EE25A5" w:rsidRPr="002405A7" w:rsidRDefault="00EE25A5" w:rsidP="00EE25A5">
      <w:pPr>
        <w:rPr>
          <w:b/>
          <w:lang w:val="fr-LU"/>
        </w:rPr>
      </w:pPr>
      <w:r w:rsidRPr="002405A7">
        <w:rPr>
          <w:b/>
          <w:lang w:val="fr-LU"/>
        </w:rPr>
        <w:t>I. OBJET DU PROJET DE LOI</w:t>
      </w:r>
    </w:p>
    <w:p w:rsidR="00EE25A5" w:rsidRPr="002405A7" w:rsidRDefault="00EE25A5" w:rsidP="00EE25A5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633A88" w:rsidRPr="002405A7" w:rsidRDefault="00633A88" w:rsidP="00633A88">
      <w:pPr>
        <w:autoSpaceDE w:val="0"/>
        <w:autoSpaceDN w:val="0"/>
        <w:adjustRightInd w:val="0"/>
        <w:jc w:val="both"/>
      </w:pPr>
      <w:r w:rsidRPr="002405A7">
        <w:t>L’objectif majeur affiché par le projet de loi consiste à contenir les nuisances sonores en relation avec l’exploitation d’aéroports afin d’améliorer l’environnement acoustique actuel.</w:t>
      </w:r>
    </w:p>
    <w:p w:rsidR="00633A88" w:rsidRPr="002405A7" w:rsidRDefault="00633A88" w:rsidP="00633A88">
      <w:pPr>
        <w:autoSpaceDE w:val="0"/>
        <w:autoSpaceDN w:val="0"/>
        <w:adjustRightInd w:val="0"/>
        <w:jc w:val="both"/>
      </w:pPr>
    </w:p>
    <w:p w:rsidR="00633A88" w:rsidRDefault="00633A88" w:rsidP="00633A88">
      <w:pPr>
        <w:autoSpaceDE w:val="0"/>
        <w:autoSpaceDN w:val="0"/>
        <w:adjustRightInd w:val="0"/>
        <w:jc w:val="both"/>
      </w:pPr>
      <w:r w:rsidRPr="002405A7">
        <w:t>Le projet de loi transpose en droit national les dispositions de la directive (CE) No 2002/30 du Parlement européen et du Conseil du 26 mars 2002 relative à l’établissement de règles liées au bruit dans les aéroports de la Communauté</w:t>
      </w:r>
      <w:r w:rsidR="00EE0D81">
        <w:t xml:space="preserve">. </w:t>
      </w:r>
      <w:r w:rsidRPr="002405A7">
        <w:t xml:space="preserve">Le projet de loi crée </w:t>
      </w:r>
      <w:r w:rsidR="00EE0D81">
        <w:t xml:space="preserve">ainsi </w:t>
      </w:r>
      <w:r w:rsidRPr="002405A7">
        <w:t>un</w:t>
      </w:r>
      <w:r w:rsidR="002D63EC" w:rsidRPr="002405A7">
        <w:t xml:space="preserve"> cadre juridique permettant au ministre </w:t>
      </w:r>
      <w:r w:rsidR="00EE0D81">
        <w:t>d</w:t>
      </w:r>
      <w:r w:rsidR="002D63EC" w:rsidRPr="002405A7">
        <w:t>es T</w:t>
      </w:r>
      <w:r w:rsidRPr="002405A7">
        <w:t xml:space="preserve">ransports d’introduire des restrictions d’exploitation au niveau de l’aéroport de Luxembourg de façon à limiter, voire réduire les nuisances sonores sans pour autant remettre en cause la capacité de développement de l’aéroport. </w:t>
      </w:r>
    </w:p>
    <w:p w:rsidR="00EE0D81" w:rsidRPr="002405A7" w:rsidRDefault="00EE0D81" w:rsidP="00633A88">
      <w:pPr>
        <w:autoSpaceDE w:val="0"/>
        <w:autoSpaceDN w:val="0"/>
        <w:adjustRightInd w:val="0"/>
        <w:jc w:val="both"/>
      </w:pPr>
    </w:p>
    <w:p w:rsidR="00633A88" w:rsidRPr="002405A7" w:rsidRDefault="00633A88" w:rsidP="00633A88">
      <w:pPr>
        <w:autoSpaceDE w:val="0"/>
        <w:autoSpaceDN w:val="0"/>
        <w:adjustRightInd w:val="0"/>
        <w:jc w:val="both"/>
      </w:pPr>
      <w:r w:rsidRPr="002405A7">
        <w:t xml:space="preserve">La gestion du bruit </w:t>
      </w:r>
      <w:r w:rsidR="002D63EC" w:rsidRPr="002405A7">
        <w:t>doit tenir</w:t>
      </w:r>
      <w:r w:rsidRPr="002405A7">
        <w:t xml:space="preserve"> compte des car</w:t>
      </w:r>
      <w:r w:rsidR="00BF3799" w:rsidRPr="002405A7">
        <w:t>actéristiques spécifiques de l’a</w:t>
      </w:r>
      <w:r w:rsidRPr="002405A7">
        <w:t>éroport de Luxembourg et requiert un examen minutieux de quatre éléments clés:</w:t>
      </w:r>
    </w:p>
    <w:p w:rsidR="00633A88" w:rsidRPr="002405A7" w:rsidRDefault="00633A88" w:rsidP="00633A88">
      <w:pPr>
        <w:autoSpaceDE w:val="0"/>
        <w:autoSpaceDN w:val="0"/>
        <w:adjustRightInd w:val="0"/>
        <w:jc w:val="both"/>
      </w:pPr>
    </w:p>
    <w:p w:rsidR="00633A88" w:rsidRPr="002405A7" w:rsidRDefault="00633A88" w:rsidP="00633A88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405A7">
        <w:t>réduction à la source du bruit généré par les avions;</w:t>
      </w:r>
    </w:p>
    <w:p w:rsidR="00633A88" w:rsidRPr="002405A7" w:rsidRDefault="00633A88" w:rsidP="00633A88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405A7">
        <w:t>planification et gestion de l’utilisation des sols en termes d’aménagement du territoire;</w:t>
      </w:r>
    </w:p>
    <w:p w:rsidR="00633A88" w:rsidRPr="002405A7" w:rsidRDefault="00633A88" w:rsidP="00633A88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405A7">
        <w:t>promotion de p</w:t>
      </w:r>
      <w:r w:rsidR="00B80986" w:rsidRPr="002405A7">
        <w:t>rocédures d’exploitation dites « </w:t>
      </w:r>
      <w:r w:rsidRPr="002405A7">
        <w:t xml:space="preserve">à </w:t>
      </w:r>
      <w:r w:rsidR="00B80986" w:rsidRPr="002405A7">
        <w:t>moindre bruit »</w:t>
      </w:r>
      <w:r w:rsidRPr="002405A7">
        <w:t>;</w:t>
      </w:r>
    </w:p>
    <w:p w:rsidR="00633A88" w:rsidRDefault="00633A88" w:rsidP="00633A88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405A7">
        <w:t>restrictions d’exploitations justifiées et qui satisfont aux exigences du marché intérieur communautaire.</w:t>
      </w:r>
    </w:p>
    <w:p w:rsidR="00EE0D81" w:rsidRPr="002405A7" w:rsidRDefault="00EE0D81" w:rsidP="00EE0D81">
      <w:pPr>
        <w:autoSpaceDE w:val="0"/>
        <w:autoSpaceDN w:val="0"/>
        <w:adjustRightInd w:val="0"/>
        <w:spacing w:after="120"/>
        <w:ind w:left="357"/>
        <w:jc w:val="both"/>
      </w:pPr>
    </w:p>
    <w:p w:rsidR="00EE0D81" w:rsidRPr="002405A7" w:rsidRDefault="00EE0D81" w:rsidP="00EE0D81">
      <w:pPr>
        <w:rPr>
          <w:b/>
          <w:lang w:val="fr-LU"/>
        </w:rPr>
      </w:pPr>
      <w:r>
        <w:rPr>
          <w:b/>
          <w:lang w:val="fr-LU"/>
        </w:rPr>
        <w:t>I</w:t>
      </w:r>
      <w:r w:rsidRPr="002405A7">
        <w:rPr>
          <w:b/>
          <w:lang w:val="fr-LU"/>
        </w:rPr>
        <w:t xml:space="preserve">I. </w:t>
      </w:r>
      <w:r>
        <w:rPr>
          <w:b/>
          <w:lang w:val="fr-LU"/>
        </w:rPr>
        <w:t>TRAVAUX PARLEMENTAIRES</w:t>
      </w:r>
    </w:p>
    <w:p w:rsidR="00EE0D81" w:rsidRPr="002405A7" w:rsidRDefault="00EE0D81" w:rsidP="00EE0D81">
      <w:pPr>
        <w:jc w:val="both"/>
        <w:rPr>
          <w:b/>
        </w:rPr>
      </w:pPr>
    </w:p>
    <w:p w:rsidR="00EE0D81" w:rsidRPr="002405A7" w:rsidRDefault="00EE0D81" w:rsidP="00EE0D81">
      <w:pPr>
        <w:jc w:val="both"/>
      </w:pPr>
      <w:r w:rsidRPr="002405A7">
        <w:t>Le projet de loi sous rubrique a été déposé le 26 mars 2007</w:t>
      </w:r>
      <w:r>
        <w:t>.</w:t>
      </w:r>
      <w:r w:rsidRPr="002405A7">
        <w:t xml:space="preserve"> Le Conseil d’Etat a rendu son avis le 24 avril 2007. Lors de sa réunion du 22 juin 2007, la Commission des Transports a désigné M. Roger Negri comme rapporteur. Au cours de cette même réunion, elle a analysé le projet de loi sous rubrique et l’avis du Conseil d’Etat. </w:t>
      </w:r>
      <w:r w:rsidR="00E0369B">
        <w:t>L</w:t>
      </w:r>
      <w:r w:rsidRPr="002405A7">
        <w:t>e rapport</w:t>
      </w:r>
      <w:r w:rsidR="00E0369B">
        <w:t xml:space="preserve"> a été adopté</w:t>
      </w:r>
      <w:r w:rsidRPr="002405A7">
        <w:t xml:space="preserve"> le 3 juillet 2007.</w:t>
      </w:r>
    </w:p>
    <w:p w:rsidR="00EE0D81" w:rsidRPr="002405A7" w:rsidRDefault="00EE0D81" w:rsidP="00EE0D81"/>
    <w:p w:rsidR="00633A88" w:rsidRPr="002405A7" w:rsidRDefault="00633A88" w:rsidP="00633A88">
      <w:pPr>
        <w:autoSpaceDE w:val="0"/>
        <w:autoSpaceDN w:val="0"/>
        <w:adjustRightInd w:val="0"/>
        <w:jc w:val="both"/>
      </w:pPr>
    </w:p>
    <w:sectPr w:rsidR="00633A88" w:rsidRPr="002405A7" w:rsidSect="00EE25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472A">
      <w:r>
        <w:separator/>
      </w:r>
    </w:p>
  </w:endnote>
  <w:endnote w:type="continuationSeparator" w:id="0">
    <w:p w:rsidR="00000000" w:rsidRDefault="00E1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22" w:rsidRDefault="00937C22" w:rsidP="00DE42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7C22" w:rsidRDefault="00937C22" w:rsidP="00DE42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22" w:rsidRDefault="00937C22" w:rsidP="00DE42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937C22" w:rsidRDefault="00937C22" w:rsidP="00DE42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472A">
      <w:r>
        <w:separator/>
      </w:r>
    </w:p>
  </w:footnote>
  <w:footnote w:type="continuationSeparator" w:id="0">
    <w:p w:rsidR="00000000" w:rsidRDefault="00E1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A50"/>
    <w:multiLevelType w:val="hybridMultilevel"/>
    <w:tmpl w:val="BB847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2752"/>
    <w:multiLevelType w:val="hybridMultilevel"/>
    <w:tmpl w:val="7B4C85E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C3486"/>
    <w:multiLevelType w:val="multilevel"/>
    <w:tmpl w:val="7B4C85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66F09"/>
    <w:multiLevelType w:val="hybridMultilevel"/>
    <w:tmpl w:val="F16A3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0062"/>
    <w:multiLevelType w:val="hybridMultilevel"/>
    <w:tmpl w:val="B82AB6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0229F"/>
    <w:multiLevelType w:val="hybridMultilevel"/>
    <w:tmpl w:val="CDC466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21508"/>
    <w:multiLevelType w:val="hybridMultilevel"/>
    <w:tmpl w:val="015EF3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F6B18"/>
    <w:multiLevelType w:val="hybridMultilevel"/>
    <w:tmpl w:val="86C0E8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D1761"/>
    <w:multiLevelType w:val="hybridMultilevel"/>
    <w:tmpl w:val="548A98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32"/>
    <w:rsid w:val="00052587"/>
    <w:rsid w:val="00137991"/>
    <w:rsid w:val="00141746"/>
    <w:rsid w:val="00195932"/>
    <w:rsid w:val="001E0DB1"/>
    <w:rsid w:val="00201C16"/>
    <w:rsid w:val="002242DF"/>
    <w:rsid w:val="002405A7"/>
    <w:rsid w:val="002808C2"/>
    <w:rsid w:val="002D63EC"/>
    <w:rsid w:val="002E423B"/>
    <w:rsid w:val="003375BC"/>
    <w:rsid w:val="003C1398"/>
    <w:rsid w:val="004F5398"/>
    <w:rsid w:val="0055339C"/>
    <w:rsid w:val="00612419"/>
    <w:rsid w:val="00633A88"/>
    <w:rsid w:val="00673473"/>
    <w:rsid w:val="006A2071"/>
    <w:rsid w:val="006E70B4"/>
    <w:rsid w:val="00784ECD"/>
    <w:rsid w:val="007A104E"/>
    <w:rsid w:val="00867347"/>
    <w:rsid w:val="008E2FD8"/>
    <w:rsid w:val="009125BA"/>
    <w:rsid w:val="00921541"/>
    <w:rsid w:val="00937C22"/>
    <w:rsid w:val="009C4E7C"/>
    <w:rsid w:val="00A45CDB"/>
    <w:rsid w:val="00A87E88"/>
    <w:rsid w:val="00B80986"/>
    <w:rsid w:val="00B937F8"/>
    <w:rsid w:val="00B9681F"/>
    <w:rsid w:val="00B9738B"/>
    <w:rsid w:val="00BA27A9"/>
    <w:rsid w:val="00BF3799"/>
    <w:rsid w:val="00C20F51"/>
    <w:rsid w:val="00C450D8"/>
    <w:rsid w:val="00C623A5"/>
    <w:rsid w:val="00D246CA"/>
    <w:rsid w:val="00D64D76"/>
    <w:rsid w:val="00DA012A"/>
    <w:rsid w:val="00DE104F"/>
    <w:rsid w:val="00DE4237"/>
    <w:rsid w:val="00E0369B"/>
    <w:rsid w:val="00E1472A"/>
    <w:rsid w:val="00E367C7"/>
    <w:rsid w:val="00E544C3"/>
    <w:rsid w:val="00E54EEF"/>
    <w:rsid w:val="00EE0D81"/>
    <w:rsid w:val="00EE25A5"/>
    <w:rsid w:val="00F10826"/>
    <w:rsid w:val="00F21F8F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4891D0A-39F1-4583-992A-F30C9B8E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A5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EE25A5"/>
    <w:pPr>
      <w:ind w:left="1134" w:hanging="426"/>
      <w:jc w:val="both"/>
    </w:pPr>
    <w:rPr>
      <w:szCs w:val="20"/>
      <w:lang w:val="fr-CH"/>
    </w:rPr>
  </w:style>
  <w:style w:type="paragraph" w:styleId="Pieddepage">
    <w:name w:val="footer"/>
    <w:basedOn w:val="Normal"/>
    <w:rsid w:val="00EE25A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A752231-79E0-4564-855B-FA756AD939B5}"/>
</file>

<file path=customXml/itemProps2.xml><?xml version="1.0" encoding="utf-8"?>
<ds:datastoreItem xmlns:ds="http://schemas.openxmlformats.org/officeDocument/2006/customXml" ds:itemID="{A5DFCEA0-C3A9-4671-8CCE-606772F0D1E5}"/>
</file>

<file path=customXml/itemProps3.xml><?xml version="1.0" encoding="utf-8"?>
<ds:datastoreItem xmlns:ds="http://schemas.openxmlformats.org/officeDocument/2006/customXml" ds:itemID="{336EC054-9125-4AB3-83A1-884140EDA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5709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Brigitte</dc:creator>
  <cp:keywords/>
  <dc:description/>
  <cp:lastModifiedBy>SYSTEM</cp:lastModifiedBy>
  <cp:revision>2</cp:revision>
  <cp:lastPrinted>2007-06-29T13:56:00Z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