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4F" w:rsidRDefault="000A2A4F" w:rsidP="000A2A4F">
      <w:pPr>
        <w:pStyle w:val="Style1"/>
        <w:jc w:val="center"/>
        <w:rPr>
          <w:b/>
          <w:sz w:val="28"/>
          <w:szCs w:val="28"/>
        </w:rPr>
      </w:pPr>
      <w:bookmarkStart w:id="0" w:name="_GoBack"/>
      <w:bookmarkEnd w:id="0"/>
      <w:r w:rsidRPr="00866819">
        <w:rPr>
          <w:b/>
          <w:sz w:val="28"/>
          <w:szCs w:val="28"/>
        </w:rPr>
        <w:t>Projet de loi</w:t>
      </w:r>
      <w:r>
        <w:rPr>
          <w:b/>
          <w:sz w:val="28"/>
          <w:szCs w:val="28"/>
        </w:rPr>
        <w:t xml:space="preserve"> 5705</w:t>
      </w:r>
    </w:p>
    <w:p w:rsidR="000A2A4F" w:rsidRDefault="000A2A4F" w:rsidP="000A2A4F">
      <w:pPr>
        <w:pStyle w:val="Style1"/>
        <w:tabs>
          <w:tab w:val="left" w:pos="1620"/>
        </w:tabs>
        <w:jc w:val="left"/>
        <w:rPr>
          <w:bCs/>
          <w:szCs w:val="22"/>
        </w:rPr>
      </w:pPr>
    </w:p>
    <w:p w:rsidR="000A2A4F" w:rsidRPr="00730628" w:rsidRDefault="000A2A4F" w:rsidP="000A2A4F">
      <w:pPr>
        <w:pStyle w:val="Style1"/>
        <w:ind w:left="1080" w:right="1106"/>
        <w:rPr>
          <w:b/>
          <w:bCs/>
          <w:sz w:val="24"/>
        </w:rPr>
      </w:pPr>
      <w:r w:rsidRPr="00730628">
        <w:rPr>
          <w:b/>
          <w:bCs/>
          <w:sz w:val="24"/>
        </w:rPr>
        <w:t>portant approbation de la Convention de sécurité sociale</w:t>
      </w:r>
      <w:r>
        <w:rPr>
          <w:b/>
          <w:bCs/>
          <w:sz w:val="24"/>
        </w:rPr>
        <w:t xml:space="preserve"> </w:t>
      </w:r>
      <w:r w:rsidRPr="00730628">
        <w:rPr>
          <w:b/>
          <w:bCs/>
          <w:sz w:val="24"/>
        </w:rPr>
        <w:t>entre le Gouvernement du Grand-Duché de Luxembourg et</w:t>
      </w:r>
      <w:r>
        <w:rPr>
          <w:b/>
          <w:bCs/>
          <w:sz w:val="24"/>
        </w:rPr>
        <w:t xml:space="preserve"> </w:t>
      </w:r>
      <w:r w:rsidRPr="00730628">
        <w:rPr>
          <w:b/>
          <w:bCs/>
          <w:sz w:val="24"/>
        </w:rPr>
        <w:t xml:space="preserve">le Gouvernement du Royaume du Maroc, signée à </w:t>
      </w:r>
      <w:r>
        <w:rPr>
          <w:b/>
          <w:bCs/>
          <w:sz w:val="24"/>
        </w:rPr>
        <w:t xml:space="preserve">Luxembourg </w:t>
      </w:r>
      <w:r w:rsidRPr="00730628">
        <w:rPr>
          <w:b/>
          <w:bCs/>
          <w:sz w:val="24"/>
        </w:rPr>
        <w:t xml:space="preserve">le 2 octobre 2006 </w:t>
      </w:r>
    </w:p>
    <w:p w:rsidR="00921874" w:rsidRDefault="00921874"/>
    <w:p w:rsidR="000A2A4F" w:rsidRDefault="000A2A4F" w:rsidP="000A2A4F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730628">
        <w:rPr>
          <w:rFonts w:ascii="Arial" w:eastAsia="SimSun" w:hAnsi="Arial" w:cs="Arial"/>
          <w:sz w:val="22"/>
          <w:szCs w:val="22"/>
          <w:lang w:eastAsia="zh-CN"/>
        </w:rPr>
        <w:t>Le présent projet de loi a pour objet l’approbation de la convention entre le Grand-Duché de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730628">
        <w:rPr>
          <w:rFonts w:ascii="Arial" w:eastAsia="SimSun" w:hAnsi="Arial" w:cs="Arial"/>
          <w:sz w:val="22"/>
          <w:szCs w:val="22"/>
          <w:lang w:eastAsia="zh-CN"/>
        </w:rPr>
        <w:t>Luxembourg et le Royaume du Maroc sur la sécurité sociale, qui a été signée à Luxembourg en date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730628">
        <w:rPr>
          <w:rFonts w:ascii="Arial" w:eastAsia="SimSun" w:hAnsi="Arial" w:cs="Arial"/>
          <w:sz w:val="22"/>
          <w:szCs w:val="22"/>
          <w:lang w:eastAsia="zh-CN"/>
        </w:rPr>
        <w:t>du 2 octobre 2006.</w:t>
      </w:r>
    </w:p>
    <w:p w:rsidR="000A2A4F" w:rsidRPr="00730628" w:rsidRDefault="000A2A4F" w:rsidP="000A2A4F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0A2A4F" w:rsidRDefault="000A2A4F" w:rsidP="000A2A4F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730628">
        <w:rPr>
          <w:rFonts w:ascii="Arial" w:eastAsia="SimSun" w:hAnsi="Arial" w:cs="Arial"/>
          <w:sz w:val="22"/>
          <w:szCs w:val="22"/>
          <w:lang w:eastAsia="zh-CN"/>
        </w:rPr>
        <w:t>C’est la première fois que les relations internationales en matière de sécurité sociale entre le Maroc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730628">
        <w:rPr>
          <w:rFonts w:ascii="Arial" w:eastAsia="SimSun" w:hAnsi="Arial" w:cs="Arial"/>
          <w:sz w:val="22"/>
          <w:szCs w:val="22"/>
          <w:lang w:eastAsia="zh-CN"/>
        </w:rPr>
        <w:t>et le Luxembourg sont régies par un instrument international. Dès lors</w:t>
      </w:r>
      <w:r>
        <w:rPr>
          <w:rFonts w:ascii="Arial" w:eastAsia="SimSun" w:hAnsi="Arial" w:cs="Arial"/>
          <w:sz w:val="22"/>
          <w:szCs w:val="22"/>
          <w:lang w:eastAsia="zh-CN"/>
        </w:rPr>
        <w:t>,</w:t>
      </w:r>
      <w:r w:rsidRPr="00730628">
        <w:rPr>
          <w:rFonts w:ascii="Arial" w:eastAsia="SimSun" w:hAnsi="Arial" w:cs="Arial"/>
          <w:sz w:val="22"/>
          <w:szCs w:val="22"/>
          <w:lang w:eastAsia="zh-CN"/>
        </w:rPr>
        <w:t xml:space="preserve"> le vide juridique est comblé par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730628">
        <w:rPr>
          <w:rFonts w:ascii="Arial" w:eastAsia="SimSun" w:hAnsi="Arial" w:cs="Arial"/>
          <w:sz w:val="22"/>
          <w:szCs w:val="22"/>
          <w:lang w:eastAsia="zh-CN"/>
        </w:rPr>
        <w:t>cette nouvelle convention qui garantit les droits en matière de sécurité sociale des ressortissants des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730628">
        <w:rPr>
          <w:rFonts w:ascii="Arial" w:eastAsia="SimSun" w:hAnsi="Arial" w:cs="Arial"/>
          <w:sz w:val="22"/>
          <w:szCs w:val="22"/>
          <w:lang w:eastAsia="zh-CN"/>
        </w:rPr>
        <w:t>deux pays qui ont été soumis successivement ou alternativement aux législations des deux Etats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730628">
        <w:rPr>
          <w:rFonts w:ascii="Arial" w:eastAsia="SimSun" w:hAnsi="Arial" w:cs="Arial"/>
          <w:sz w:val="22"/>
          <w:szCs w:val="22"/>
          <w:lang w:eastAsia="zh-CN"/>
        </w:rPr>
        <w:t>contractants.</w:t>
      </w:r>
    </w:p>
    <w:p w:rsidR="000A2A4F" w:rsidRPr="00730628" w:rsidRDefault="000A2A4F" w:rsidP="000A2A4F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0A2A4F" w:rsidRDefault="000A2A4F" w:rsidP="000A2A4F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730628">
        <w:rPr>
          <w:rFonts w:ascii="Arial" w:eastAsia="SimSun" w:hAnsi="Arial" w:cs="Arial"/>
          <w:sz w:val="22"/>
          <w:szCs w:val="22"/>
          <w:lang w:eastAsia="zh-CN"/>
        </w:rPr>
        <w:t>Dans une large mesure la présente convention suit l’aménagement général des conventions bilatérales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730628">
        <w:rPr>
          <w:rFonts w:ascii="Arial" w:eastAsia="SimSun" w:hAnsi="Arial" w:cs="Arial"/>
          <w:sz w:val="22"/>
          <w:szCs w:val="22"/>
          <w:lang w:eastAsia="zh-CN"/>
        </w:rPr>
        <w:t>conclues jusqu’à présent par le Luxembourg et reprend les formules de coordination usuelles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730628">
        <w:rPr>
          <w:rFonts w:ascii="Arial" w:eastAsia="SimSun" w:hAnsi="Arial" w:cs="Arial"/>
          <w:sz w:val="22"/>
          <w:szCs w:val="22"/>
          <w:lang w:eastAsia="zh-CN"/>
        </w:rPr>
        <w:t>adoptées tant dans ces instruments que dans le règlement communautaire 1408/71 sur la sécurité sociale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730628">
        <w:rPr>
          <w:rFonts w:ascii="Arial" w:eastAsia="SimSun" w:hAnsi="Arial" w:cs="Arial"/>
          <w:sz w:val="22"/>
          <w:szCs w:val="22"/>
          <w:lang w:eastAsia="zh-CN"/>
        </w:rPr>
        <w:t>des travailleurs migrants.</w:t>
      </w:r>
    </w:p>
    <w:p w:rsidR="000A2A4F" w:rsidRPr="00730628" w:rsidRDefault="000A2A4F" w:rsidP="000A2A4F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0A2A4F" w:rsidRDefault="000A2A4F" w:rsidP="000A2A4F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730628">
        <w:rPr>
          <w:rFonts w:ascii="Arial" w:eastAsia="SimSun" w:hAnsi="Arial" w:cs="Arial"/>
          <w:sz w:val="22"/>
          <w:szCs w:val="22"/>
          <w:lang w:eastAsia="zh-CN"/>
        </w:rPr>
        <w:t>Le champ d’application matériel est très large</w:t>
      </w:r>
      <w:r>
        <w:rPr>
          <w:rFonts w:ascii="Arial" w:eastAsia="SimSun" w:hAnsi="Arial" w:cs="Arial"/>
          <w:sz w:val="22"/>
          <w:szCs w:val="22"/>
          <w:lang w:eastAsia="zh-CN"/>
        </w:rPr>
        <w:t>,</w:t>
      </w:r>
      <w:r w:rsidRPr="00730628">
        <w:rPr>
          <w:rFonts w:ascii="Arial" w:eastAsia="SimSun" w:hAnsi="Arial" w:cs="Arial"/>
          <w:sz w:val="22"/>
          <w:szCs w:val="22"/>
          <w:lang w:eastAsia="zh-CN"/>
        </w:rPr>
        <w:t xml:space="preserve"> car la convention s’applique aux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730628">
        <w:rPr>
          <w:rFonts w:ascii="Arial" w:eastAsia="SimSun" w:hAnsi="Arial" w:cs="Arial"/>
          <w:sz w:val="22"/>
          <w:szCs w:val="22"/>
          <w:lang w:eastAsia="zh-CN"/>
        </w:rPr>
        <w:t>législations des deux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730628">
        <w:rPr>
          <w:rFonts w:ascii="Arial" w:eastAsia="SimSun" w:hAnsi="Arial" w:cs="Arial"/>
          <w:sz w:val="22"/>
          <w:szCs w:val="22"/>
          <w:lang w:eastAsia="zh-CN"/>
        </w:rPr>
        <w:t>Etats contractants relatives à l’assurance maladie-maternité, l’assurance accidents du travail et maladies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730628">
        <w:rPr>
          <w:rFonts w:ascii="Arial" w:eastAsia="SimSun" w:hAnsi="Arial" w:cs="Arial"/>
          <w:sz w:val="22"/>
          <w:szCs w:val="22"/>
          <w:lang w:eastAsia="zh-CN"/>
        </w:rPr>
        <w:t>professionnelles, l’assurance pension en cas de vieillesse, d’invalidité et de survie, aux prestations de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730628">
        <w:rPr>
          <w:rFonts w:ascii="Arial" w:eastAsia="SimSun" w:hAnsi="Arial" w:cs="Arial"/>
          <w:sz w:val="22"/>
          <w:szCs w:val="22"/>
          <w:lang w:eastAsia="zh-CN"/>
        </w:rPr>
        <w:t>chômage, ainsi qu’aux prestations familiales. C’est la première fois qu’un instrument international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730628">
        <w:rPr>
          <w:rFonts w:ascii="Arial" w:eastAsia="SimSun" w:hAnsi="Arial" w:cs="Arial"/>
          <w:sz w:val="22"/>
          <w:szCs w:val="22"/>
          <w:lang w:eastAsia="zh-CN"/>
        </w:rPr>
        <w:t>conclu avec un pays qui n’est pas membre de l’Union européenne règle la matière de la dépendance.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730628">
        <w:rPr>
          <w:rFonts w:ascii="Arial" w:eastAsia="SimSun" w:hAnsi="Arial" w:cs="Arial"/>
          <w:sz w:val="22"/>
          <w:szCs w:val="22"/>
          <w:lang w:eastAsia="zh-CN"/>
        </w:rPr>
        <w:t>La convention ne s’applique pas à l’</w:t>
      </w:r>
      <w:smartTag w:uri="urn:schemas-microsoft-com:office:smarttags" w:element="PersonName">
        <w:r w:rsidRPr="00730628">
          <w:rPr>
            <w:rFonts w:ascii="Arial" w:eastAsia="SimSun" w:hAnsi="Arial" w:cs="Arial"/>
            <w:sz w:val="22"/>
            <w:szCs w:val="22"/>
            <w:lang w:eastAsia="zh-CN"/>
          </w:rPr>
          <w:t>assist</w:t>
        </w:r>
      </w:smartTag>
      <w:r w:rsidRPr="00730628">
        <w:rPr>
          <w:rFonts w:ascii="Arial" w:eastAsia="SimSun" w:hAnsi="Arial" w:cs="Arial"/>
          <w:sz w:val="22"/>
          <w:szCs w:val="22"/>
          <w:lang w:eastAsia="zh-CN"/>
        </w:rPr>
        <w:t>ance sociale.</w:t>
      </w:r>
    </w:p>
    <w:p w:rsidR="000A2A4F" w:rsidRPr="00730628" w:rsidRDefault="000A2A4F" w:rsidP="000A2A4F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0A2A4F" w:rsidRDefault="000A2A4F" w:rsidP="000A2A4F">
      <w:pPr>
        <w:jc w:val="both"/>
      </w:pPr>
      <w:r w:rsidRPr="00730628">
        <w:rPr>
          <w:rFonts w:ascii="Arial" w:eastAsia="SimSun" w:hAnsi="Arial" w:cs="Arial"/>
          <w:sz w:val="22"/>
          <w:szCs w:val="22"/>
          <w:lang w:eastAsia="zh-CN"/>
        </w:rPr>
        <w:t>Pour ce qui est de son champ d’application personnel, la convention s’applique aux ressortissants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730628">
        <w:rPr>
          <w:rFonts w:ascii="Arial" w:eastAsia="SimSun" w:hAnsi="Arial" w:cs="Arial"/>
          <w:sz w:val="22"/>
          <w:szCs w:val="22"/>
          <w:lang w:eastAsia="zh-CN"/>
        </w:rPr>
        <w:t>luxembourgeois ou marocains et aux réfugiés résidant sur le territoire luxembourgeois ou marocain,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730628">
        <w:rPr>
          <w:rFonts w:ascii="Arial" w:eastAsia="SimSun" w:hAnsi="Arial" w:cs="Arial"/>
          <w:sz w:val="22"/>
          <w:szCs w:val="22"/>
          <w:lang w:eastAsia="zh-CN"/>
        </w:rPr>
        <w:t>qui sont ou ont été soumis à la législation de l’un ou des deux Etats contractants</w:t>
      </w:r>
      <w:r>
        <w:rPr>
          <w:rFonts w:ascii="Arial" w:eastAsia="SimSun" w:hAnsi="Arial" w:cs="Arial"/>
          <w:sz w:val="22"/>
          <w:szCs w:val="22"/>
          <w:lang w:eastAsia="zh-CN"/>
        </w:rPr>
        <w:t>,</w:t>
      </w:r>
      <w:r w:rsidRPr="00730628">
        <w:rPr>
          <w:rFonts w:ascii="Arial" w:eastAsia="SimSun" w:hAnsi="Arial" w:cs="Arial"/>
          <w:sz w:val="22"/>
          <w:szCs w:val="22"/>
          <w:lang w:eastAsia="zh-CN"/>
        </w:rPr>
        <w:t xml:space="preserve"> ainsi qu’aux membres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730628">
        <w:rPr>
          <w:rFonts w:ascii="Arial" w:eastAsia="SimSun" w:hAnsi="Arial" w:cs="Arial"/>
          <w:sz w:val="22"/>
          <w:szCs w:val="22"/>
          <w:lang w:eastAsia="zh-CN"/>
        </w:rPr>
        <w:t>de leur famille et à leurs survivants.</w:t>
      </w:r>
    </w:p>
    <w:sectPr w:rsidR="000A2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874"/>
    <w:rsid w:val="000A2A4F"/>
    <w:rsid w:val="004E535B"/>
    <w:rsid w:val="00673B2A"/>
    <w:rsid w:val="008418B5"/>
    <w:rsid w:val="0092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decimalSymbol w:val=","/>
  <w:listSeparator w:val=";"/>
  <w15:chartTrackingRefBased/>
  <w15:docId w15:val="{BA2F46B5-B2A6-45F3-AC76-08870375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link w:val="Style1Car"/>
    <w:rsid w:val="00921874"/>
    <w:pPr>
      <w:jc w:val="both"/>
    </w:pPr>
    <w:rPr>
      <w:rFonts w:ascii="Arial" w:hAnsi="Arial"/>
      <w:sz w:val="22"/>
    </w:rPr>
  </w:style>
  <w:style w:type="character" w:customStyle="1" w:styleId="Style1Car">
    <w:name w:val="Style1 Car"/>
    <w:basedOn w:val="Policepardfaut"/>
    <w:link w:val="Style1"/>
    <w:rsid w:val="000A2A4F"/>
    <w:rPr>
      <w:rFonts w:ascii="Arial" w:hAnsi="Arial"/>
      <w:sz w:val="22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DP5705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5705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/sftpecos/Dossiers_parlementaires/5705/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E4EF213-1968-486F-9056-9467C98ECD4D}"/>
</file>

<file path=customXml/itemProps2.xml><?xml version="1.0" encoding="utf-8"?>
<ds:datastoreItem xmlns:ds="http://schemas.openxmlformats.org/officeDocument/2006/customXml" ds:itemID="{5E66312E-13CA-4B60-A089-7756A7D63829}"/>
</file>

<file path=customXml/itemProps3.xml><?xml version="1.0" encoding="utf-8"?>
<ds:datastoreItem xmlns:ds="http://schemas.openxmlformats.org/officeDocument/2006/customXml" ds:itemID="{6EE56B25-1181-4E15-A52D-BAE15A57B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1757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loi 5705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dc:description/>
  <cp:lastModifiedBy>SYSTEM</cp:lastModifiedBy>
  <cp:revision>2</cp:revision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