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D8" w:rsidRPr="007369D8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7369D8">
        <w:rPr>
          <w:rFonts w:ascii="Arial" w:hAnsi="Arial" w:cs="Arial"/>
          <w:b/>
          <w:bCs/>
          <w:color w:val="000000"/>
          <w:sz w:val="28"/>
          <w:szCs w:val="28"/>
        </w:rPr>
        <w:t>Projet de loi 5632</w:t>
      </w:r>
    </w:p>
    <w:p w:rsidR="007369D8" w:rsidRPr="007369D8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69D8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369D8">
        <w:rPr>
          <w:rFonts w:ascii="Arial" w:hAnsi="Arial" w:cs="Arial"/>
          <w:b/>
          <w:bCs/>
          <w:color w:val="000000"/>
          <w:sz w:val="28"/>
          <w:szCs w:val="28"/>
        </w:rPr>
        <w:t xml:space="preserve"> modifiant l’article L.222-9 du Code du travail </w:t>
      </w:r>
    </w:p>
    <w:p w:rsidR="007369D8" w:rsidRPr="00C85657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7369D8">
        <w:rPr>
          <w:rFonts w:ascii="Arial" w:hAnsi="Arial" w:cs="Arial"/>
          <w:b/>
          <w:bCs/>
          <w:color w:val="000000"/>
          <w:sz w:val="28"/>
          <w:szCs w:val="28"/>
        </w:rPr>
        <w:t>en vue d’adapter le salaire social minimum</w:t>
      </w:r>
    </w:p>
    <w:p w:rsidR="00921874" w:rsidRDefault="00921874"/>
    <w:p w:rsidR="007369D8" w:rsidRDefault="007369D8"/>
    <w:p w:rsidR="007369D8" w:rsidRPr="00C85657" w:rsidRDefault="007369D8" w:rsidP="007369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85657">
        <w:rPr>
          <w:rFonts w:ascii="Arial" w:hAnsi="Arial" w:cs="Arial"/>
          <w:color w:val="000000"/>
          <w:sz w:val="22"/>
          <w:szCs w:val="22"/>
        </w:rPr>
        <w:t>Le projet de loi vise à augmenter le salaire social minimum de l’ordre de 1,9% à partir du 1</w:t>
      </w:r>
      <w:r w:rsidRPr="00C85657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 w:rsidRPr="00C85657">
        <w:rPr>
          <w:rFonts w:ascii="Arial" w:hAnsi="Arial" w:cs="Arial"/>
          <w:color w:val="000000"/>
          <w:sz w:val="22"/>
          <w:szCs w:val="22"/>
        </w:rPr>
        <w:t xml:space="preserve"> janvier 2007, afin de tenir compte de l’évolution du niveau moyen des rémunérations en 2004 et 2005 qui accuse une progression de </w:t>
      </w:r>
      <w:r>
        <w:rPr>
          <w:rFonts w:ascii="Arial" w:hAnsi="Arial" w:cs="Arial"/>
          <w:color w:val="000000"/>
          <w:sz w:val="22"/>
          <w:szCs w:val="22"/>
        </w:rPr>
        <w:t>1,9</w:t>
      </w:r>
      <w:r w:rsidRPr="00C85657">
        <w:rPr>
          <w:rFonts w:ascii="Arial" w:hAnsi="Arial" w:cs="Arial"/>
          <w:color w:val="000000"/>
          <w:sz w:val="22"/>
          <w:szCs w:val="22"/>
        </w:rPr>
        <w:t>% pendant ce laps de temps.</w:t>
      </w:r>
    </w:p>
    <w:p w:rsidR="007369D8" w:rsidRPr="00C85657" w:rsidRDefault="007369D8" w:rsidP="007369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69D8" w:rsidRPr="00C85657" w:rsidRDefault="007369D8" w:rsidP="007369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Dans la mesure où l</w:t>
      </w:r>
      <w:r w:rsidRPr="00C85657">
        <w:rPr>
          <w:rFonts w:ascii="Arial" w:hAnsi="Arial" w:cs="Arial"/>
          <w:color w:val="000000"/>
          <w:sz w:val="22"/>
          <w:szCs w:val="22"/>
        </w:rPr>
        <w:t xml:space="preserve">e Gouvernement </w:t>
      </w:r>
      <w:r>
        <w:rPr>
          <w:rFonts w:ascii="Arial" w:hAnsi="Arial" w:cs="Arial"/>
          <w:color w:val="000000"/>
          <w:sz w:val="22"/>
          <w:szCs w:val="22"/>
        </w:rPr>
        <w:t xml:space="preserve">et la Chambre des Députés </w:t>
      </w:r>
      <w:r w:rsidRPr="00C85657">
        <w:rPr>
          <w:rFonts w:ascii="Arial" w:hAnsi="Arial" w:cs="Arial"/>
          <w:color w:val="000000"/>
          <w:sz w:val="22"/>
          <w:szCs w:val="22"/>
        </w:rPr>
        <w:t>estime</w:t>
      </w:r>
      <w:r>
        <w:rPr>
          <w:rFonts w:ascii="Arial" w:hAnsi="Arial" w:cs="Arial"/>
          <w:color w:val="000000"/>
          <w:sz w:val="22"/>
          <w:szCs w:val="22"/>
        </w:rPr>
        <w:t>nt</w:t>
      </w:r>
      <w:r w:rsidRPr="00C85657">
        <w:rPr>
          <w:rFonts w:ascii="Arial" w:hAnsi="Arial" w:cs="Arial"/>
          <w:color w:val="000000"/>
          <w:sz w:val="22"/>
          <w:szCs w:val="22"/>
        </w:rPr>
        <w:t xml:space="preserve"> que les conditions économiques et sociales, développées de manière détaillée dans le rapport biennal du Gouvernement à la Chambre des Députés, permettent de relever le salaire social minimum en l’alignant intégralement sur l’évolution du niveau moyen des rémunérations en 2004 et 2005</w:t>
      </w:r>
      <w:r>
        <w:rPr>
          <w:rFonts w:ascii="Arial" w:hAnsi="Arial" w:cs="Arial"/>
          <w:color w:val="000000"/>
          <w:sz w:val="22"/>
          <w:szCs w:val="22"/>
        </w:rPr>
        <w:t>, i</w:t>
      </w:r>
      <w:r w:rsidRPr="00C85657">
        <w:rPr>
          <w:rFonts w:ascii="Arial" w:hAnsi="Arial" w:cs="Arial"/>
          <w:color w:val="000000"/>
          <w:sz w:val="22"/>
          <w:szCs w:val="22"/>
        </w:rPr>
        <w:t>l est proposé d’augmenter le salaire social minimum de 1,9% à partir du 1</w:t>
      </w:r>
      <w:r w:rsidRPr="00C85657">
        <w:rPr>
          <w:rFonts w:ascii="Arial" w:hAnsi="Arial" w:cs="Arial"/>
          <w:color w:val="000000"/>
          <w:sz w:val="22"/>
          <w:szCs w:val="22"/>
          <w:vertAlign w:val="superscript"/>
        </w:rPr>
        <w:t>er</w:t>
      </w:r>
      <w:r w:rsidRPr="00C85657">
        <w:rPr>
          <w:rFonts w:ascii="Arial" w:hAnsi="Arial" w:cs="Arial"/>
          <w:color w:val="000000"/>
          <w:sz w:val="22"/>
          <w:szCs w:val="22"/>
        </w:rPr>
        <w:t xml:space="preserve"> janvier 2007. Compte tenu de l’augmentation de 1,9 % les nouveaux montants se présentent comme suit :</w:t>
      </w:r>
    </w:p>
    <w:p w:rsidR="007369D8" w:rsidRPr="00C85657" w:rsidRDefault="007369D8" w:rsidP="007369D8">
      <w:pPr>
        <w:jc w:val="both"/>
        <w:rPr>
          <w:rFonts w:ascii="Arial" w:hAnsi="Arial" w:cs="Arial"/>
          <w:color w:val="000000"/>
        </w:rPr>
      </w:pPr>
    </w:p>
    <w:p w:rsidR="007369D8" w:rsidRPr="00C85657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C85657">
        <w:rPr>
          <w:rFonts w:ascii="Arial" w:hAnsi="Arial" w:cs="Arial"/>
          <w:b/>
          <w:bCs/>
          <w:i/>
          <w:color w:val="000000"/>
        </w:rPr>
        <w:t>Taux mensuels indexés</w:t>
      </w: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948"/>
        <w:gridCol w:w="2387"/>
        <w:gridCol w:w="2387"/>
      </w:tblGrid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Taux mensuel</w:t>
            </w: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 1/12/06</w:t>
            </w: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(indice 668,46)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Taux mensuel proposé</w:t>
            </w: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 1/1/07</w:t>
            </w: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(indice 668,46)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1.541,00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1.570,28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1.232,80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1.256,22</w:t>
            </w:r>
          </w:p>
        </w:tc>
      </w:tr>
      <w:tr w:rsidR="007369D8" w:rsidRPr="00C85657">
        <w:trPr>
          <w:trHeight w:val="272"/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1.155,75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1.177,71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120%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1.849,20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1.884,34</w:t>
            </w:r>
          </w:p>
        </w:tc>
      </w:tr>
    </w:tbl>
    <w:p w:rsidR="007369D8" w:rsidRPr="00C85657" w:rsidRDefault="007369D8" w:rsidP="007369D8">
      <w:pPr>
        <w:ind w:left="600" w:right="646"/>
        <w:jc w:val="both"/>
        <w:rPr>
          <w:rFonts w:ascii="Arial" w:hAnsi="Arial" w:cs="Arial"/>
          <w:i/>
          <w:color w:val="000000"/>
        </w:rPr>
      </w:pPr>
    </w:p>
    <w:p w:rsidR="007369D8" w:rsidRPr="00145DB9" w:rsidRDefault="007369D8" w:rsidP="007369D8">
      <w:pPr>
        <w:ind w:left="600" w:right="64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45DB9">
        <w:rPr>
          <w:rFonts w:ascii="Arial" w:hAnsi="Arial" w:cs="Arial"/>
          <w:i/>
          <w:color w:val="000000"/>
          <w:sz w:val="22"/>
          <w:szCs w:val="22"/>
        </w:rPr>
        <w:t>Entre le 1</w:t>
      </w:r>
      <w:r w:rsidRPr="00145DB9">
        <w:rPr>
          <w:rFonts w:ascii="Arial" w:hAnsi="Arial" w:cs="Arial"/>
          <w:i/>
          <w:color w:val="000000"/>
          <w:sz w:val="22"/>
          <w:szCs w:val="22"/>
          <w:vertAlign w:val="superscript"/>
        </w:rPr>
        <w:t>er</w:t>
      </w:r>
      <w:r w:rsidRPr="00145DB9">
        <w:rPr>
          <w:rFonts w:ascii="Arial" w:hAnsi="Arial" w:cs="Arial"/>
          <w:i/>
          <w:color w:val="000000"/>
          <w:sz w:val="22"/>
          <w:szCs w:val="22"/>
        </w:rPr>
        <w:t xml:space="preserve"> décembre 2006 et le 1</w:t>
      </w:r>
      <w:r w:rsidRPr="00145DB9">
        <w:rPr>
          <w:rFonts w:ascii="Arial" w:hAnsi="Arial" w:cs="Arial"/>
          <w:i/>
          <w:color w:val="000000"/>
          <w:sz w:val="22"/>
          <w:szCs w:val="22"/>
          <w:vertAlign w:val="superscript"/>
        </w:rPr>
        <w:t>er</w:t>
      </w:r>
      <w:r w:rsidRPr="00145DB9">
        <w:rPr>
          <w:rFonts w:ascii="Arial" w:hAnsi="Arial" w:cs="Arial"/>
          <w:i/>
          <w:color w:val="000000"/>
          <w:sz w:val="22"/>
          <w:szCs w:val="22"/>
        </w:rPr>
        <w:t xml:space="preserve"> janvier 2007, le SSM passera de 1541 euros à 1570,28 euros pour les travailleurs non qualifiés et de 1849,20 euros à 1884,34 euros pour travailleurs qualifiés. Ainsi, la hausse du SSM sera de 29,28 euros pour travailleurs non qualifiés et la hausse du SSM pour travailleurs qualifiés sera de 35,14 euros. </w:t>
      </w:r>
    </w:p>
    <w:p w:rsidR="007369D8" w:rsidRPr="00C85657" w:rsidRDefault="007369D8" w:rsidP="007369D8">
      <w:pPr>
        <w:ind w:left="600" w:right="646"/>
        <w:jc w:val="both"/>
        <w:rPr>
          <w:rFonts w:ascii="Arial" w:hAnsi="Arial" w:cs="Arial"/>
          <w:i/>
          <w:color w:val="000000"/>
        </w:rPr>
      </w:pPr>
    </w:p>
    <w:p w:rsidR="007369D8" w:rsidRPr="00C85657" w:rsidRDefault="007369D8" w:rsidP="007369D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7369D8" w:rsidRPr="00C85657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 w:rsidRPr="00C85657">
        <w:rPr>
          <w:rFonts w:ascii="Arial" w:hAnsi="Arial" w:cs="Arial"/>
          <w:b/>
          <w:bCs/>
          <w:i/>
          <w:color w:val="000000"/>
        </w:rPr>
        <w:t>Taux horaires indexés</w:t>
      </w: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948"/>
        <w:gridCol w:w="2387"/>
        <w:gridCol w:w="2387"/>
      </w:tblGrid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Taux horaire</w:t>
            </w: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 1/12/06</w:t>
            </w: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(indice 668,46)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Taux horaire proposé</w:t>
            </w: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 1/1/07</w:t>
            </w: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856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(indice 668,46)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8,9075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9,0768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7,1260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7,2614</w:t>
            </w:r>
          </w:p>
        </w:tc>
      </w:tr>
      <w:tr w:rsidR="007369D8" w:rsidRPr="00C85657">
        <w:trPr>
          <w:trHeight w:val="272"/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6,6806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6,8076</w:t>
            </w:r>
          </w:p>
        </w:tc>
      </w:tr>
      <w:tr w:rsidR="007369D8" w:rsidRPr="00C85657">
        <w:trPr>
          <w:jc w:val="center"/>
        </w:trPr>
        <w:tc>
          <w:tcPr>
            <w:tcW w:w="948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120%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10,6890</w:t>
            </w:r>
          </w:p>
        </w:tc>
        <w:tc>
          <w:tcPr>
            <w:tcW w:w="2387" w:type="dxa"/>
            <w:vAlign w:val="center"/>
          </w:tcPr>
          <w:p w:rsidR="007369D8" w:rsidRPr="00C85657" w:rsidRDefault="007369D8" w:rsidP="00736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69D8" w:rsidRPr="00C85657" w:rsidRDefault="007369D8" w:rsidP="0073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5657">
              <w:rPr>
                <w:rFonts w:ascii="Arial" w:hAnsi="Arial" w:cs="Arial"/>
                <w:color w:val="000000"/>
                <w:sz w:val="22"/>
                <w:szCs w:val="22"/>
              </w:rPr>
              <w:t>10,8921</w:t>
            </w:r>
          </w:p>
        </w:tc>
      </w:tr>
    </w:tbl>
    <w:p w:rsidR="007369D8" w:rsidRPr="00C85657" w:rsidRDefault="007369D8" w:rsidP="007369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:rsidR="007369D8" w:rsidRDefault="007369D8" w:rsidP="007369D8">
      <w:pPr>
        <w:ind w:left="600" w:right="646"/>
        <w:jc w:val="both"/>
      </w:pPr>
      <w:r w:rsidRPr="00145DB9">
        <w:rPr>
          <w:rFonts w:ascii="Arial" w:hAnsi="Arial" w:cs="Arial"/>
          <w:i/>
          <w:color w:val="000000"/>
          <w:sz w:val="22"/>
          <w:szCs w:val="22"/>
        </w:rPr>
        <w:t>La différence dans les salaires minimaux horaires est de 0,1693 € (SSM non qualifié) et de 0,2031 € (SSM qualifié).</w:t>
      </w:r>
    </w:p>
    <w:sectPr w:rsidR="0073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7369D8"/>
    <w:rsid w:val="008552AD"/>
    <w:rsid w:val="00921874"/>
    <w:rsid w:val="00B12447"/>
    <w:rsid w:val="00D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2854324-E574-49B2-9564-1FD14DB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D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rsid w:val="0073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5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DP5632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5632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/sftpecos/Dossiers_parlementaires/5632/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6419A30-0255-405C-8908-3D0BE7329108}"/>
</file>

<file path=customXml/itemProps2.xml><?xml version="1.0" encoding="utf-8"?>
<ds:datastoreItem xmlns:ds="http://schemas.openxmlformats.org/officeDocument/2006/customXml" ds:itemID="{F50A24F8-44F1-4284-A1BE-B03BD4E0ED8D}"/>
</file>

<file path=customXml/itemProps3.xml><?xml version="1.0" encoding="utf-8"?>
<ds:datastoreItem xmlns:ds="http://schemas.openxmlformats.org/officeDocument/2006/customXml" ds:itemID="{D9ACA240-6F83-4994-8AA6-27383FBAB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5632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cp:lastPrinted>2006-12-18T09:18:00Z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