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7CF" w:rsidRPr="00A34774" w:rsidRDefault="003A07CF" w:rsidP="003A07CF">
      <w:pPr>
        <w:jc w:val="both"/>
        <w:rPr>
          <w:rFonts w:ascii="Arial" w:hAnsi="Arial" w:cs="Arial"/>
          <w:b/>
          <w:u w:val="single"/>
        </w:rPr>
      </w:pPr>
      <w:bookmarkStart w:id="0" w:name="_GoBack"/>
      <w:bookmarkEnd w:id="0"/>
      <w:r w:rsidRPr="00A34774">
        <w:rPr>
          <w:rFonts w:ascii="Arial" w:hAnsi="Arial" w:cs="Arial"/>
          <w:b/>
          <w:u w:val="single"/>
        </w:rPr>
        <w:t>PL 5613 : Résumé</w:t>
      </w:r>
    </w:p>
    <w:p w:rsidR="003A07CF" w:rsidRPr="00A34774" w:rsidRDefault="003A07CF" w:rsidP="003A07CF">
      <w:pPr>
        <w:jc w:val="both"/>
        <w:rPr>
          <w:rFonts w:ascii="Arial" w:hAnsi="Arial" w:cs="Arial"/>
        </w:rPr>
      </w:pPr>
    </w:p>
    <w:p w:rsidR="003A07CF" w:rsidRPr="00A34774" w:rsidRDefault="003A07CF" w:rsidP="003A07CF">
      <w:pPr>
        <w:jc w:val="both"/>
        <w:rPr>
          <w:rFonts w:ascii="Arial" w:hAnsi="Arial" w:cs="Arial"/>
        </w:rPr>
      </w:pPr>
      <w:r w:rsidRPr="00A34774">
        <w:rPr>
          <w:rFonts w:ascii="Arial" w:hAnsi="Arial" w:cs="Arial"/>
        </w:rPr>
        <w:t>Le projet de loi 5613 a pour objectif de ratifier les actes issus des délibérations du dernier congrès de l'Union postale universelle (UPU), organisme dépendant des Nations Unies. Le 23</w:t>
      </w:r>
      <w:r w:rsidRPr="00A34774">
        <w:rPr>
          <w:rFonts w:ascii="Arial" w:hAnsi="Arial" w:cs="Arial"/>
          <w:vertAlign w:val="superscript"/>
        </w:rPr>
        <w:t>e</w:t>
      </w:r>
      <w:r w:rsidRPr="00A34774">
        <w:rPr>
          <w:rFonts w:ascii="Arial" w:hAnsi="Arial" w:cs="Arial"/>
        </w:rPr>
        <w:t xml:space="preserve"> Congrès postal universel </w:t>
      </w:r>
      <w:r w:rsidR="00A34774" w:rsidRPr="00A34774">
        <w:rPr>
          <w:rFonts w:ascii="Arial" w:hAnsi="Arial" w:cs="Arial"/>
        </w:rPr>
        <w:t>s’est</w:t>
      </w:r>
      <w:r w:rsidRPr="00A34774">
        <w:rPr>
          <w:rFonts w:ascii="Arial" w:hAnsi="Arial" w:cs="Arial"/>
        </w:rPr>
        <w:t xml:space="preserve"> réuni du 15 septembre au 5 octobre 2004 à Bucarest afin de réglementer le service postal international du point de vue technique et tarifaire. Les décisions ont porté sur :</w:t>
      </w:r>
    </w:p>
    <w:p w:rsidR="00BA5FAF" w:rsidRPr="00A34774" w:rsidRDefault="00BA5FAF" w:rsidP="003A07CF">
      <w:pPr>
        <w:jc w:val="both"/>
        <w:rPr>
          <w:rFonts w:ascii="Arial" w:hAnsi="Arial" w:cs="Arial"/>
        </w:rPr>
      </w:pPr>
    </w:p>
    <w:p w:rsidR="003A07CF" w:rsidRPr="00A34774" w:rsidRDefault="003A07CF" w:rsidP="00BA5FAF">
      <w:pPr>
        <w:numPr>
          <w:ilvl w:val="0"/>
          <w:numId w:val="6"/>
        </w:numPr>
        <w:jc w:val="both"/>
        <w:rPr>
          <w:rFonts w:ascii="Arial" w:hAnsi="Arial" w:cs="Arial"/>
        </w:rPr>
      </w:pPr>
      <w:r w:rsidRPr="00A34774">
        <w:rPr>
          <w:rFonts w:ascii="Arial" w:hAnsi="Arial" w:cs="Arial"/>
        </w:rPr>
        <w:t>le 7</w:t>
      </w:r>
      <w:r w:rsidRPr="00A34774">
        <w:rPr>
          <w:rFonts w:ascii="Arial" w:hAnsi="Arial" w:cs="Arial"/>
          <w:vertAlign w:val="superscript"/>
        </w:rPr>
        <w:t>e</w:t>
      </w:r>
      <w:r w:rsidRPr="00A34774">
        <w:rPr>
          <w:rFonts w:ascii="Arial" w:hAnsi="Arial" w:cs="Arial"/>
        </w:rPr>
        <w:t xml:space="preserve"> Protocole additionnel à la Constitution de l'Union postale un</w:t>
      </w:r>
      <w:r w:rsidR="00A34774" w:rsidRPr="00A34774">
        <w:rPr>
          <w:rFonts w:ascii="Arial" w:hAnsi="Arial" w:cs="Arial"/>
        </w:rPr>
        <w:t>iverselle ;</w:t>
      </w:r>
    </w:p>
    <w:p w:rsidR="003A07CF" w:rsidRPr="00A34774" w:rsidRDefault="003A07CF" w:rsidP="00BA5FAF">
      <w:pPr>
        <w:numPr>
          <w:ilvl w:val="0"/>
          <w:numId w:val="7"/>
        </w:numPr>
        <w:tabs>
          <w:tab w:val="clear" w:pos="900"/>
          <w:tab w:val="num" w:pos="360"/>
        </w:tabs>
        <w:ind w:left="360"/>
        <w:jc w:val="both"/>
        <w:rPr>
          <w:rFonts w:ascii="Arial" w:hAnsi="Arial" w:cs="Arial"/>
        </w:rPr>
      </w:pPr>
      <w:r w:rsidRPr="00A34774">
        <w:rPr>
          <w:rFonts w:ascii="Arial" w:hAnsi="Arial" w:cs="Arial"/>
        </w:rPr>
        <w:t>le Règlement général</w:t>
      </w:r>
      <w:r w:rsidR="00A34774" w:rsidRPr="00A34774">
        <w:rPr>
          <w:rFonts w:ascii="Arial" w:hAnsi="Arial" w:cs="Arial"/>
        </w:rPr>
        <w:t xml:space="preserve"> de l'Union postale universelle ;</w:t>
      </w:r>
    </w:p>
    <w:p w:rsidR="003A07CF" w:rsidRPr="00A34774" w:rsidRDefault="003A07CF" w:rsidP="00BA5FAF">
      <w:pPr>
        <w:numPr>
          <w:ilvl w:val="0"/>
          <w:numId w:val="8"/>
        </w:numPr>
        <w:tabs>
          <w:tab w:val="clear" w:pos="900"/>
          <w:tab w:val="num" w:pos="360"/>
        </w:tabs>
        <w:ind w:left="360"/>
        <w:jc w:val="both"/>
        <w:rPr>
          <w:rFonts w:ascii="Arial" w:hAnsi="Arial" w:cs="Arial"/>
        </w:rPr>
      </w:pPr>
      <w:r w:rsidRPr="00A34774">
        <w:rPr>
          <w:rFonts w:ascii="Arial" w:hAnsi="Arial" w:cs="Arial"/>
        </w:rPr>
        <w:t>la Convention postale univers</w:t>
      </w:r>
      <w:r w:rsidR="00A34774" w:rsidRPr="00A34774">
        <w:rPr>
          <w:rFonts w:ascii="Arial" w:hAnsi="Arial" w:cs="Arial"/>
        </w:rPr>
        <w:t>elle et à son Protocole final ;</w:t>
      </w:r>
    </w:p>
    <w:p w:rsidR="003A07CF" w:rsidRPr="00A34774" w:rsidRDefault="003A07CF" w:rsidP="00BA5FAF">
      <w:pPr>
        <w:numPr>
          <w:ilvl w:val="0"/>
          <w:numId w:val="9"/>
        </w:numPr>
        <w:tabs>
          <w:tab w:val="clear" w:pos="900"/>
          <w:tab w:val="num" w:pos="360"/>
        </w:tabs>
        <w:ind w:left="360"/>
        <w:jc w:val="both"/>
        <w:rPr>
          <w:rFonts w:ascii="Arial" w:hAnsi="Arial" w:cs="Arial"/>
        </w:rPr>
      </w:pPr>
      <w:r w:rsidRPr="00A34774">
        <w:rPr>
          <w:rFonts w:ascii="Arial" w:hAnsi="Arial" w:cs="Arial"/>
        </w:rPr>
        <w:t>l'Arrangement concernant les services de paiement de la poste.</w:t>
      </w:r>
    </w:p>
    <w:p w:rsidR="003A07CF" w:rsidRPr="00A34774" w:rsidRDefault="003A07CF" w:rsidP="003A07CF">
      <w:pPr>
        <w:jc w:val="both"/>
        <w:rPr>
          <w:rFonts w:ascii="Arial" w:hAnsi="Arial" w:cs="Arial"/>
        </w:rPr>
      </w:pPr>
    </w:p>
    <w:p w:rsidR="003A07CF" w:rsidRPr="00A34774" w:rsidRDefault="003A07CF" w:rsidP="003A07CF">
      <w:pPr>
        <w:jc w:val="both"/>
        <w:rPr>
          <w:rFonts w:ascii="Arial" w:hAnsi="Arial" w:cs="Arial"/>
        </w:rPr>
      </w:pPr>
      <w:r w:rsidRPr="00A34774">
        <w:rPr>
          <w:rFonts w:ascii="Arial" w:hAnsi="Arial" w:cs="Arial"/>
        </w:rPr>
        <w:t>Parmi les décisions du Congrès, les points les plus importants sont</w:t>
      </w:r>
      <w:r w:rsidR="00BA5FAF" w:rsidRPr="00A34774">
        <w:rPr>
          <w:rFonts w:ascii="Arial" w:hAnsi="Arial" w:cs="Arial"/>
        </w:rPr>
        <w:t xml:space="preserve">, entre autres </w:t>
      </w:r>
      <w:r w:rsidRPr="00A34774">
        <w:rPr>
          <w:rFonts w:ascii="Arial" w:hAnsi="Arial" w:cs="Arial"/>
        </w:rPr>
        <w:t>:</w:t>
      </w:r>
    </w:p>
    <w:p w:rsidR="003A07CF" w:rsidRPr="00A34774" w:rsidRDefault="003A07CF" w:rsidP="003A07CF">
      <w:pPr>
        <w:jc w:val="both"/>
        <w:rPr>
          <w:rFonts w:ascii="Arial" w:hAnsi="Arial" w:cs="Arial"/>
        </w:rPr>
      </w:pPr>
    </w:p>
    <w:p w:rsidR="003A07CF" w:rsidRPr="00A34774" w:rsidRDefault="00BA5FAF" w:rsidP="003A07CF">
      <w:pPr>
        <w:numPr>
          <w:ilvl w:val="0"/>
          <w:numId w:val="5"/>
        </w:numPr>
        <w:jc w:val="both"/>
        <w:rPr>
          <w:rFonts w:ascii="Arial" w:hAnsi="Arial" w:cs="Arial"/>
        </w:rPr>
      </w:pPr>
      <w:r w:rsidRPr="00A34774">
        <w:rPr>
          <w:rFonts w:ascii="Arial" w:hAnsi="Arial" w:cs="Arial"/>
        </w:rPr>
        <w:t>la c</w:t>
      </w:r>
      <w:r w:rsidR="003A07CF" w:rsidRPr="00A34774">
        <w:rPr>
          <w:rFonts w:ascii="Arial" w:hAnsi="Arial" w:cs="Arial"/>
        </w:rPr>
        <w:t xml:space="preserve">réation d'un Comité consultatif : Aux côtés du Conseil d'administration (CA) et du Conseil d'exploitation postale (CEP), dont les membres représentent respectivement les régulateurs et les opérateurs postaux, il est créé le Comité consultatif. </w:t>
      </w:r>
      <w:r w:rsidRPr="00A34774">
        <w:rPr>
          <w:rFonts w:ascii="Arial" w:hAnsi="Arial" w:cs="Arial"/>
        </w:rPr>
        <w:t>L</w:t>
      </w:r>
      <w:r w:rsidR="003A07CF" w:rsidRPr="00A34774">
        <w:rPr>
          <w:rFonts w:ascii="Arial" w:hAnsi="Arial" w:cs="Arial"/>
        </w:rPr>
        <w:t>'UPU offre ainsi à des acteurs postaux autres que les opérateurs ou régulateurs postaux publics la possibilité de s'exprimer au cours des délibérations de l'organisation et de donner leur avis sur l'avenir du monde postal.</w:t>
      </w:r>
    </w:p>
    <w:p w:rsidR="003A07CF" w:rsidRPr="00A34774" w:rsidRDefault="00BA5FAF" w:rsidP="003A07CF">
      <w:pPr>
        <w:numPr>
          <w:ilvl w:val="0"/>
          <w:numId w:val="5"/>
        </w:numPr>
        <w:jc w:val="both"/>
        <w:rPr>
          <w:rFonts w:ascii="Arial" w:hAnsi="Arial" w:cs="Arial"/>
        </w:rPr>
      </w:pPr>
      <w:r w:rsidRPr="00A34774">
        <w:rPr>
          <w:rFonts w:ascii="Arial" w:hAnsi="Arial" w:cs="Arial"/>
        </w:rPr>
        <w:t>la d</w:t>
      </w:r>
      <w:r w:rsidR="003A07CF" w:rsidRPr="00A34774">
        <w:rPr>
          <w:rFonts w:ascii="Arial" w:hAnsi="Arial" w:cs="Arial"/>
        </w:rPr>
        <w:t xml:space="preserve">éfinition du cachet postal électronique : Jusqu'à 50 millions d'opérations sont affranchies chaque année à l'aide d'un cachet postal électronique, </w:t>
      </w:r>
      <w:r w:rsidR="003E1B3E" w:rsidRPr="00A34774">
        <w:rPr>
          <w:rFonts w:ascii="Arial" w:hAnsi="Arial" w:cs="Arial"/>
        </w:rPr>
        <w:t>qui a été</w:t>
      </w:r>
      <w:r w:rsidR="003A07CF" w:rsidRPr="00A34774">
        <w:rPr>
          <w:rFonts w:ascii="Arial" w:hAnsi="Arial" w:cs="Arial"/>
        </w:rPr>
        <w:t xml:space="preserve"> reconnu par le Congrès de Bucarest </w:t>
      </w:r>
      <w:r w:rsidR="003E1B3E" w:rsidRPr="00A34774">
        <w:rPr>
          <w:rFonts w:ascii="Arial" w:hAnsi="Arial" w:cs="Arial"/>
        </w:rPr>
        <w:t>comme un</w:t>
      </w:r>
      <w:r w:rsidR="003A07CF" w:rsidRPr="00A34774">
        <w:rPr>
          <w:rFonts w:ascii="Arial" w:hAnsi="Arial" w:cs="Arial"/>
        </w:rPr>
        <w:t xml:space="preserve"> nouveau service postal facultatif. Ainsi, l'interopérabilité des cachets électroniques entre les postes du monde entier est désormais assurée. Le cachet postal électronique atteste de façon visible la réalité d'un événement électronique, sous une forme déterminée, à un moment donné, et implique une ou plusieurs parties. Il transmet aux documents électroniques tous les avantages du cachet postal traditionnel et prouve, grâce à des caractéristiques telles que l'horodatage, la saisie de l'identité numérique, la vérification du contenu et l'encryptage, que le contenu d'un message électronique n'a pas été modifié.</w:t>
      </w:r>
    </w:p>
    <w:p w:rsidR="003A07CF" w:rsidRPr="00A34774" w:rsidRDefault="003E1B3E" w:rsidP="003E1B3E">
      <w:pPr>
        <w:numPr>
          <w:ilvl w:val="0"/>
          <w:numId w:val="5"/>
        </w:numPr>
        <w:jc w:val="both"/>
        <w:rPr>
          <w:rFonts w:ascii="Arial" w:hAnsi="Arial" w:cs="Arial"/>
        </w:rPr>
      </w:pPr>
      <w:r w:rsidRPr="00A34774">
        <w:rPr>
          <w:rFonts w:ascii="Arial" w:hAnsi="Arial" w:cs="Arial"/>
        </w:rPr>
        <w:t>la v</w:t>
      </w:r>
      <w:r w:rsidR="003A07CF" w:rsidRPr="00A34774">
        <w:rPr>
          <w:rFonts w:ascii="Arial" w:hAnsi="Arial" w:cs="Arial"/>
        </w:rPr>
        <w:t xml:space="preserve">ersion révisée du système de paiement propre à chaque pays pour le traitement du courrier international : Un ensemble de mesures vise à rendre le mécanisme de compensation des coûts de traitement des lettres et des envois arrivants autres que les colis plus adapté aux conditions de chaque pays. Il s'agit également de faire en sorte que ce mécanisme reflète mieux les coûts réels. </w:t>
      </w:r>
      <w:r w:rsidR="003A07CF" w:rsidRPr="00A34774">
        <w:rPr>
          <w:rFonts w:ascii="Arial" w:hAnsi="Arial" w:cs="Arial"/>
          <w:color w:val="000000"/>
        </w:rPr>
        <w:t>Lors du Congrès à Beijing en 1999 fut décidé la création du Fonds pour l’amélioration de la qualité de service (FAQS). Le FAQS est financé à partir d'une majoration des frais terminaux payés notamment par les pays industrialisés. En raison des changements adoptés au Congrès de Bucarest concernant la classification des pays selon celle du Programme des Nations unies pour le développement, certains pays en développement contribuent désormais aux revenus du FAQS en vertu du système de frais terminaux. Une distribution plus équitable des ressources financières a</w:t>
      </w:r>
      <w:r w:rsidR="00A34774" w:rsidRPr="00A34774">
        <w:rPr>
          <w:rFonts w:ascii="Arial" w:hAnsi="Arial" w:cs="Arial"/>
          <w:color w:val="000000"/>
        </w:rPr>
        <w:t>ux pays en ayant le plus besoin</w:t>
      </w:r>
      <w:r w:rsidR="003A07CF" w:rsidRPr="00A34774">
        <w:rPr>
          <w:rFonts w:ascii="Arial" w:hAnsi="Arial" w:cs="Arial"/>
          <w:color w:val="000000"/>
        </w:rPr>
        <w:t xml:space="preserve"> est ainsi assurée. Ce mécanisme international original a permis de financer, entre avril 2001 et mars 2006, la mise en œuvre de 279 projets visant l'amélioration du service postal dans les pays en développemen</w:t>
      </w:r>
      <w:r w:rsidRPr="00A34774">
        <w:rPr>
          <w:rFonts w:ascii="Arial" w:hAnsi="Arial" w:cs="Arial"/>
          <w:color w:val="000000"/>
        </w:rPr>
        <w:t>t et les pays les moins avancés</w:t>
      </w:r>
      <w:r w:rsidR="003A07CF" w:rsidRPr="00A34774">
        <w:rPr>
          <w:rFonts w:ascii="Arial" w:hAnsi="Arial" w:cs="Arial"/>
          <w:color w:val="000000"/>
        </w:rPr>
        <w:t>.</w:t>
      </w:r>
    </w:p>
    <w:p w:rsidR="003A07CF" w:rsidRPr="003E1B3E" w:rsidRDefault="003A07CF">
      <w:pPr>
        <w:rPr>
          <w:sz w:val="22"/>
          <w:szCs w:val="22"/>
        </w:rPr>
      </w:pPr>
    </w:p>
    <w:sectPr w:rsidR="003A07CF" w:rsidRPr="003E1B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153A2"/>
    <w:multiLevelType w:val="hybridMultilevel"/>
    <w:tmpl w:val="61A2F026"/>
    <w:lvl w:ilvl="0" w:tplc="80BE6656">
      <w:start w:val="3"/>
      <w:numFmt w:val="bullet"/>
      <w:lvlText w:val="-"/>
      <w:lvlJc w:val="left"/>
      <w:pPr>
        <w:tabs>
          <w:tab w:val="num" w:pos="900"/>
        </w:tabs>
        <w:ind w:left="900" w:hanging="360"/>
      </w:pPr>
      <w:rPr>
        <w:rFonts w:ascii="Times New Roman" w:eastAsia="Times New Roman" w:hAnsi="Times New Roman" w:cs="Times New Roman" w:hint="default"/>
      </w:rPr>
    </w:lvl>
    <w:lvl w:ilvl="1" w:tplc="040C0019">
      <w:start w:val="1"/>
      <w:numFmt w:val="decimal"/>
      <w:lvlText w:val="%2."/>
      <w:lvlJc w:val="left"/>
      <w:pPr>
        <w:tabs>
          <w:tab w:val="num" w:pos="1800"/>
        </w:tabs>
        <w:ind w:left="1800" w:hanging="360"/>
      </w:pPr>
    </w:lvl>
    <w:lvl w:ilvl="2" w:tplc="040C001B">
      <w:start w:val="1"/>
      <w:numFmt w:val="decimal"/>
      <w:lvlText w:val="%3."/>
      <w:lvlJc w:val="left"/>
      <w:pPr>
        <w:tabs>
          <w:tab w:val="num" w:pos="2520"/>
        </w:tabs>
        <w:ind w:left="2520" w:hanging="360"/>
      </w:pPr>
    </w:lvl>
    <w:lvl w:ilvl="3" w:tplc="040C000F">
      <w:start w:val="1"/>
      <w:numFmt w:val="decimal"/>
      <w:lvlText w:val="%4."/>
      <w:lvlJc w:val="left"/>
      <w:pPr>
        <w:tabs>
          <w:tab w:val="num" w:pos="3240"/>
        </w:tabs>
        <w:ind w:left="3240" w:hanging="360"/>
      </w:pPr>
    </w:lvl>
    <w:lvl w:ilvl="4" w:tplc="040C0019">
      <w:start w:val="1"/>
      <w:numFmt w:val="decimal"/>
      <w:lvlText w:val="%5."/>
      <w:lvlJc w:val="left"/>
      <w:pPr>
        <w:tabs>
          <w:tab w:val="num" w:pos="3960"/>
        </w:tabs>
        <w:ind w:left="3960" w:hanging="360"/>
      </w:pPr>
    </w:lvl>
    <w:lvl w:ilvl="5" w:tplc="040C001B">
      <w:start w:val="1"/>
      <w:numFmt w:val="decimal"/>
      <w:lvlText w:val="%6."/>
      <w:lvlJc w:val="left"/>
      <w:pPr>
        <w:tabs>
          <w:tab w:val="num" w:pos="4680"/>
        </w:tabs>
        <w:ind w:left="4680" w:hanging="360"/>
      </w:pPr>
    </w:lvl>
    <w:lvl w:ilvl="6" w:tplc="040C000F">
      <w:start w:val="1"/>
      <w:numFmt w:val="decimal"/>
      <w:lvlText w:val="%7."/>
      <w:lvlJc w:val="left"/>
      <w:pPr>
        <w:tabs>
          <w:tab w:val="num" w:pos="5400"/>
        </w:tabs>
        <w:ind w:left="5400" w:hanging="360"/>
      </w:pPr>
    </w:lvl>
    <w:lvl w:ilvl="7" w:tplc="040C0019">
      <w:start w:val="1"/>
      <w:numFmt w:val="decimal"/>
      <w:lvlText w:val="%8."/>
      <w:lvlJc w:val="left"/>
      <w:pPr>
        <w:tabs>
          <w:tab w:val="num" w:pos="6120"/>
        </w:tabs>
        <w:ind w:left="6120" w:hanging="360"/>
      </w:pPr>
    </w:lvl>
    <w:lvl w:ilvl="8" w:tplc="040C001B">
      <w:start w:val="1"/>
      <w:numFmt w:val="decimal"/>
      <w:lvlText w:val="%9."/>
      <w:lvlJc w:val="left"/>
      <w:pPr>
        <w:tabs>
          <w:tab w:val="num" w:pos="6840"/>
        </w:tabs>
        <w:ind w:left="6840" w:hanging="360"/>
      </w:pPr>
    </w:lvl>
  </w:abstractNum>
  <w:abstractNum w:abstractNumId="1" w15:restartNumberingAfterBreak="0">
    <w:nsid w:val="1131268B"/>
    <w:multiLevelType w:val="hybridMultilevel"/>
    <w:tmpl w:val="D6AC0160"/>
    <w:lvl w:ilvl="0" w:tplc="80BE6656">
      <w:start w:val="3"/>
      <w:numFmt w:val="bullet"/>
      <w:lvlText w:val="-"/>
      <w:lvlJc w:val="left"/>
      <w:pPr>
        <w:tabs>
          <w:tab w:val="num" w:pos="360"/>
        </w:tabs>
        <w:ind w:left="360" w:hanging="360"/>
      </w:pPr>
      <w:rPr>
        <w:rFonts w:ascii="Times New Roman" w:eastAsia="Times New Roman" w:hAnsi="Times New Roman" w:cs="Times New Roman" w:hint="default"/>
      </w:rPr>
    </w:lvl>
    <w:lvl w:ilvl="1" w:tplc="040C0019">
      <w:start w:val="1"/>
      <w:numFmt w:val="decimal"/>
      <w:lvlText w:val="%2."/>
      <w:lvlJc w:val="left"/>
      <w:pPr>
        <w:tabs>
          <w:tab w:val="num" w:pos="1080"/>
        </w:tabs>
        <w:ind w:left="1080" w:hanging="360"/>
      </w:pPr>
    </w:lvl>
    <w:lvl w:ilvl="2" w:tplc="040C001B">
      <w:start w:val="1"/>
      <w:numFmt w:val="decimal"/>
      <w:lvlText w:val="%3."/>
      <w:lvlJc w:val="left"/>
      <w:pPr>
        <w:tabs>
          <w:tab w:val="num" w:pos="1800"/>
        </w:tabs>
        <w:ind w:left="1800" w:hanging="360"/>
      </w:pPr>
    </w:lvl>
    <w:lvl w:ilvl="3" w:tplc="040C000F">
      <w:start w:val="1"/>
      <w:numFmt w:val="decimal"/>
      <w:lvlText w:val="%4."/>
      <w:lvlJc w:val="left"/>
      <w:pPr>
        <w:tabs>
          <w:tab w:val="num" w:pos="2520"/>
        </w:tabs>
        <w:ind w:left="2520" w:hanging="360"/>
      </w:pPr>
    </w:lvl>
    <w:lvl w:ilvl="4" w:tplc="040C0019">
      <w:start w:val="1"/>
      <w:numFmt w:val="decimal"/>
      <w:lvlText w:val="%5."/>
      <w:lvlJc w:val="left"/>
      <w:pPr>
        <w:tabs>
          <w:tab w:val="num" w:pos="3240"/>
        </w:tabs>
        <w:ind w:left="3240" w:hanging="360"/>
      </w:pPr>
    </w:lvl>
    <w:lvl w:ilvl="5" w:tplc="040C001B">
      <w:start w:val="1"/>
      <w:numFmt w:val="decimal"/>
      <w:lvlText w:val="%6."/>
      <w:lvlJc w:val="left"/>
      <w:pPr>
        <w:tabs>
          <w:tab w:val="num" w:pos="3960"/>
        </w:tabs>
        <w:ind w:left="3960" w:hanging="360"/>
      </w:pPr>
    </w:lvl>
    <w:lvl w:ilvl="6" w:tplc="040C000F">
      <w:start w:val="1"/>
      <w:numFmt w:val="decimal"/>
      <w:lvlText w:val="%7."/>
      <w:lvlJc w:val="left"/>
      <w:pPr>
        <w:tabs>
          <w:tab w:val="num" w:pos="4680"/>
        </w:tabs>
        <w:ind w:left="4680" w:hanging="360"/>
      </w:pPr>
    </w:lvl>
    <w:lvl w:ilvl="7" w:tplc="040C0019">
      <w:start w:val="1"/>
      <w:numFmt w:val="decimal"/>
      <w:lvlText w:val="%8."/>
      <w:lvlJc w:val="left"/>
      <w:pPr>
        <w:tabs>
          <w:tab w:val="num" w:pos="5400"/>
        </w:tabs>
        <w:ind w:left="5400" w:hanging="360"/>
      </w:pPr>
    </w:lvl>
    <w:lvl w:ilvl="8" w:tplc="040C001B">
      <w:start w:val="1"/>
      <w:numFmt w:val="decimal"/>
      <w:lvlText w:val="%9."/>
      <w:lvlJc w:val="left"/>
      <w:pPr>
        <w:tabs>
          <w:tab w:val="num" w:pos="6120"/>
        </w:tabs>
        <w:ind w:left="6120" w:hanging="360"/>
      </w:pPr>
    </w:lvl>
  </w:abstractNum>
  <w:abstractNum w:abstractNumId="2" w15:restartNumberingAfterBreak="0">
    <w:nsid w:val="21130BDA"/>
    <w:multiLevelType w:val="hybridMultilevel"/>
    <w:tmpl w:val="A7A60E5E"/>
    <w:lvl w:ilvl="0" w:tplc="80BE6656">
      <w:start w:val="3"/>
      <w:numFmt w:val="bullet"/>
      <w:lvlText w:val="-"/>
      <w:lvlJc w:val="left"/>
      <w:pPr>
        <w:tabs>
          <w:tab w:val="num" w:pos="900"/>
        </w:tabs>
        <w:ind w:left="900" w:hanging="360"/>
      </w:pPr>
      <w:rPr>
        <w:rFonts w:ascii="Times New Roman" w:eastAsia="Times New Roman" w:hAnsi="Times New Roman" w:cs="Times New Roman" w:hint="default"/>
      </w:rPr>
    </w:lvl>
    <w:lvl w:ilvl="1" w:tplc="040C0019">
      <w:start w:val="1"/>
      <w:numFmt w:val="decimal"/>
      <w:lvlText w:val="%2."/>
      <w:lvlJc w:val="left"/>
      <w:pPr>
        <w:tabs>
          <w:tab w:val="num" w:pos="1800"/>
        </w:tabs>
        <w:ind w:left="1800" w:hanging="360"/>
      </w:pPr>
    </w:lvl>
    <w:lvl w:ilvl="2" w:tplc="040C001B">
      <w:start w:val="1"/>
      <w:numFmt w:val="decimal"/>
      <w:lvlText w:val="%3."/>
      <w:lvlJc w:val="left"/>
      <w:pPr>
        <w:tabs>
          <w:tab w:val="num" w:pos="2520"/>
        </w:tabs>
        <w:ind w:left="2520" w:hanging="360"/>
      </w:pPr>
    </w:lvl>
    <w:lvl w:ilvl="3" w:tplc="040C000F">
      <w:start w:val="1"/>
      <w:numFmt w:val="decimal"/>
      <w:lvlText w:val="%4."/>
      <w:lvlJc w:val="left"/>
      <w:pPr>
        <w:tabs>
          <w:tab w:val="num" w:pos="3240"/>
        </w:tabs>
        <w:ind w:left="3240" w:hanging="360"/>
      </w:pPr>
    </w:lvl>
    <w:lvl w:ilvl="4" w:tplc="040C0019">
      <w:start w:val="1"/>
      <w:numFmt w:val="decimal"/>
      <w:lvlText w:val="%5."/>
      <w:lvlJc w:val="left"/>
      <w:pPr>
        <w:tabs>
          <w:tab w:val="num" w:pos="3960"/>
        </w:tabs>
        <w:ind w:left="3960" w:hanging="360"/>
      </w:pPr>
    </w:lvl>
    <w:lvl w:ilvl="5" w:tplc="040C001B">
      <w:start w:val="1"/>
      <w:numFmt w:val="decimal"/>
      <w:lvlText w:val="%6."/>
      <w:lvlJc w:val="left"/>
      <w:pPr>
        <w:tabs>
          <w:tab w:val="num" w:pos="4680"/>
        </w:tabs>
        <w:ind w:left="4680" w:hanging="360"/>
      </w:pPr>
    </w:lvl>
    <w:lvl w:ilvl="6" w:tplc="040C000F">
      <w:start w:val="1"/>
      <w:numFmt w:val="decimal"/>
      <w:lvlText w:val="%7."/>
      <w:lvlJc w:val="left"/>
      <w:pPr>
        <w:tabs>
          <w:tab w:val="num" w:pos="5400"/>
        </w:tabs>
        <w:ind w:left="5400" w:hanging="360"/>
      </w:pPr>
    </w:lvl>
    <w:lvl w:ilvl="7" w:tplc="040C0019">
      <w:start w:val="1"/>
      <w:numFmt w:val="decimal"/>
      <w:lvlText w:val="%8."/>
      <w:lvlJc w:val="left"/>
      <w:pPr>
        <w:tabs>
          <w:tab w:val="num" w:pos="6120"/>
        </w:tabs>
        <w:ind w:left="6120" w:hanging="360"/>
      </w:pPr>
    </w:lvl>
    <w:lvl w:ilvl="8" w:tplc="040C001B">
      <w:start w:val="1"/>
      <w:numFmt w:val="decimal"/>
      <w:lvlText w:val="%9."/>
      <w:lvlJc w:val="left"/>
      <w:pPr>
        <w:tabs>
          <w:tab w:val="num" w:pos="6840"/>
        </w:tabs>
        <w:ind w:left="6840" w:hanging="360"/>
      </w:pPr>
    </w:lvl>
  </w:abstractNum>
  <w:abstractNum w:abstractNumId="3" w15:restartNumberingAfterBreak="0">
    <w:nsid w:val="44F52A40"/>
    <w:multiLevelType w:val="hybridMultilevel"/>
    <w:tmpl w:val="24D20A2A"/>
    <w:lvl w:ilvl="0" w:tplc="80BE6656">
      <w:start w:val="3"/>
      <w:numFmt w:val="bullet"/>
      <w:lvlText w:val="-"/>
      <w:lvlJc w:val="left"/>
      <w:pPr>
        <w:tabs>
          <w:tab w:val="num" w:pos="900"/>
        </w:tabs>
        <w:ind w:left="900" w:hanging="360"/>
      </w:pPr>
      <w:rPr>
        <w:rFonts w:ascii="Times New Roman" w:eastAsia="Times New Roman" w:hAnsi="Times New Roman" w:cs="Times New Roman" w:hint="default"/>
      </w:rPr>
    </w:lvl>
    <w:lvl w:ilvl="1" w:tplc="040C0019">
      <w:start w:val="1"/>
      <w:numFmt w:val="decimal"/>
      <w:lvlText w:val="%2."/>
      <w:lvlJc w:val="left"/>
      <w:pPr>
        <w:tabs>
          <w:tab w:val="num" w:pos="1800"/>
        </w:tabs>
        <w:ind w:left="1800" w:hanging="360"/>
      </w:pPr>
    </w:lvl>
    <w:lvl w:ilvl="2" w:tplc="040C001B">
      <w:start w:val="1"/>
      <w:numFmt w:val="decimal"/>
      <w:lvlText w:val="%3."/>
      <w:lvlJc w:val="left"/>
      <w:pPr>
        <w:tabs>
          <w:tab w:val="num" w:pos="2520"/>
        </w:tabs>
        <w:ind w:left="2520" w:hanging="360"/>
      </w:pPr>
    </w:lvl>
    <w:lvl w:ilvl="3" w:tplc="040C000F">
      <w:start w:val="1"/>
      <w:numFmt w:val="decimal"/>
      <w:lvlText w:val="%4."/>
      <w:lvlJc w:val="left"/>
      <w:pPr>
        <w:tabs>
          <w:tab w:val="num" w:pos="3240"/>
        </w:tabs>
        <w:ind w:left="3240" w:hanging="360"/>
      </w:pPr>
    </w:lvl>
    <w:lvl w:ilvl="4" w:tplc="040C0019">
      <w:start w:val="1"/>
      <w:numFmt w:val="decimal"/>
      <w:lvlText w:val="%5."/>
      <w:lvlJc w:val="left"/>
      <w:pPr>
        <w:tabs>
          <w:tab w:val="num" w:pos="3960"/>
        </w:tabs>
        <w:ind w:left="3960" w:hanging="360"/>
      </w:pPr>
    </w:lvl>
    <w:lvl w:ilvl="5" w:tplc="040C001B">
      <w:start w:val="1"/>
      <w:numFmt w:val="decimal"/>
      <w:lvlText w:val="%6."/>
      <w:lvlJc w:val="left"/>
      <w:pPr>
        <w:tabs>
          <w:tab w:val="num" w:pos="4680"/>
        </w:tabs>
        <w:ind w:left="4680" w:hanging="360"/>
      </w:pPr>
    </w:lvl>
    <w:lvl w:ilvl="6" w:tplc="040C000F">
      <w:start w:val="1"/>
      <w:numFmt w:val="decimal"/>
      <w:lvlText w:val="%7."/>
      <w:lvlJc w:val="left"/>
      <w:pPr>
        <w:tabs>
          <w:tab w:val="num" w:pos="5400"/>
        </w:tabs>
        <w:ind w:left="5400" w:hanging="360"/>
      </w:pPr>
    </w:lvl>
    <w:lvl w:ilvl="7" w:tplc="040C0019">
      <w:start w:val="1"/>
      <w:numFmt w:val="decimal"/>
      <w:lvlText w:val="%8."/>
      <w:lvlJc w:val="left"/>
      <w:pPr>
        <w:tabs>
          <w:tab w:val="num" w:pos="6120"/>
        </w:tabs>
        <w:ind w:left="6120" w:hanging="360"/>
      </w:pPr>
    </w:lvl>
    <w:lvl w:ilvl="8" w:tplc="040C001B">
      <w:start w:val="1"/>
      <w:numFmt w:val="decimal"/>
      <w:lvlText w:val="%9."/>
      <w:lvlJc w:val="left"/>
      <w:pPr>
        <w:tabs>
          <w:tab w:val="num" w:pos="6840"/>
        </w:tabs>
        <w:ind w:left="6840" w:hanging="360"/>
      </w:pPr>
    </w:lvl>
  </w:abstractNum>
  <w:abstractNum w:abstractNumId="4" w15:restartNumberingAfterBreak="0">
    <w:nsid w:val="46D23350"/>
    <w:multiLevelType w:val="hybridMultilevel"/>
    <w:tmpl w:val="ED84A63C"/>
    <w:lvl w:ilvl="0" w:tplc="74DECAA6">
      <w:numFmt w:val="bullet"/>
      <w:lvlText w:val="-"/>
      <w:lvlJc w:val="left"/>
      <w:pPr>
        <w:tabs>
          <w:tab w:val="num" w:pos="720"/>
        </w:tabs>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5E9B25E0"/>
    <w:multiLevelType w:val="hybridMultilevel"/>
    <w:tmpl w:val="8076A836"/>
    <w:lvl w:ilvl="0" w:tplc="80BE6656">
      <w:start w:val="3"/>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9E21B3C"/>
    <w:multiLevelType w:val="hybridMultilevel"/>
    <w:tmpl w:val="27CC2AA4"/>
    <w:lvl w:ilvl="0" w:tplc="040C0011">
      <w:start w:val="1"/>
      <w:numFmt w:val="decimal"/>
      <w:lvlText w:val="%1)"/>
      <w:lvlJc w:val="left"/>
      <w:pPr>
        <w:tabs>
          <w:tab w:val="num" w:pos="1080"/>
        </w:tabs>
        <w:ind w:left="1080" w:hanging="360"/>
      </w:pPr>
    </w:lvl>
    <w:lvl w:ilvl="1" w:tplc="040C0019">
      <w:start w:val="1"/>
      <w:numFmt w:val="decimal"/>
      <w:lvlText w:val="%2."/>
      <w:lvlJc w:val="left"/>
      <w:pPr>
        <w:tabs>
          <w:tab w:val="num" w:pos="1800"/>
        </w:tabs>
        <w:ind w:left="1800" w:hanging="360"/>
      </w:pPr>
    </w:lvl>
    <w:lvl w:ilvl="2" w:tplc="040C001B">
      <w:start w:val="1"/>
      <w:numFmt w:val="decimal"/>
      <w:lvlText w:val="%3."/>
      <w:lvlJc w:val="left"/>
      <w:pPr>
        <w:tabs>
          <w:tab w:val="num" w:pos="2520"/>
        </w:tabs>
        <w:ind w:left="2520" w:hanging="360"/>
      </w:pPr>
    </w:lvl>
    <w:lvl w:ilvl="3" w:tplc="040C000F">
      <w:start w:val="1"/>
      <w:numFmt w:val="decimal"/>
      <w:lvlText w:val="%4."/>
      <w:lvlJc w:val="left"/>
      <w:pPr>
        <w:tabs>
          <w:tab w:val="num" w:pos="3240"/>
        </w:tabs>
        <w:ind w:left="3240" w:hanging="360"/>
      </w:pPr>
    </w:lvl>
    <w:lvl w:ilvl="4" w:tplc="040C0019">
      <w:start w:val="1"/>
      <w:numFmt w:val="decimal"/>
      <w:lvlText w:val="%5."/>
      <w:lvlJc w:val="left"/>
      <w:pPr>
        <w:tabs>
          <w:tab w:val="num" w:pos="3960"/>
        </w:tabs>
        <w:ind w:left="3960" w:hanging="360"/>
      </w:pPr>
    </w:lvl>
    <w:lvl w:ilvl="5" w:tplc="040C001B">
      <w:start w:val="1"/>
      <w:numFmt w:val="decimal"/>
      <w:lvlText w:val="%6."/>
      <w:lvlJc w:val="left"/>
      <w:pPr>
        <w:tabs>
          <w:tab w:val="num" w:pos="4680"/>
        </w:tabs>
        <w:ind w:left="4680" w:hanging="360"/>
      </w:pPr>
    </w:lvl>
    <w:lvl w:ilvl="6" w:tplc="040C000F">
      <w:start w:val="1"/>
      <w:numFmt w:val="decimal"/>
      <w:lvlText w:val="%7."/>
      <w:lvlJc w:val="left"/>
      <w:pPr>
        <w:tabs>
          <w:tab w:val="num" w:pos="5400"/>
        </w:tabs>
        <w:ind w:left="5400" w:hanging="360"/>
      </w:pPr>
    </w:lvl>
    <w:lvl w:ilvl="7" w:tplc="040C0019">
      <w:start w:val="1"/>
      <w:numFmt w:val="decimal"/>
      <w:lvlText w:val="%8."/>
      <w:lvlJc w:val="left"/>
      <w:pPr>
        <w:tabs>
          <w:tab w:val="num" w:pos="6120"/>
        </w:tabs>
        <w:ind w:left="6120" w:hanging="360"/>
      </w:pPr>
    </w:lvl>
    <w:lvl w:ilvl="8" w:tplc="040C001B">
      <w:start w:val="1"/>
      <w:numFmt w:val="decimal"/>
      <w:lvlText w:val="%9."/>
      <w:lvlJc w:val="left"/>
      <w:pPr>
        <w:tabs>
          <w:tab w:val="num" w:pos="6840"/>
        </w:tabs>
        <w:ind w:left="684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5"/>
  </w:num>
  <w:num w:numId="6">
    <w:abstractNumId w:val="1"/>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7CF"/>
    <w:rsid w:val="003A07CF"/>
    <w:rsid w:val="003E1B3E"/>
    <w:rsid w:val="00A34774"/>
    <w:rsid w:val="00A4674A"/>
    <w:rsid w:val="00A474C8"/>
    <w:rsid w:val="00BA5FA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8F29D121-EC01-4796-960E-324F0003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7CF"/>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semiHidden/>
    <w:rsid w:val="003A07CF"/>
    <w:rPr>
      <w:sz w:val="20"/>
      <w:szCs w:val="20"/>
    </w:rPr>
  </w:style>
  <w:style w:type="character" w:styleId="Appelnotedebasdep">
    <w:name w:val="footnote reference"/>
    <w:basedOn w:val="Policepardfaut"/>
    <w:semiHidden/>
    <w:rsid w:val="003A07CF"/>
    <w:rPr>
      <w:vertAlign w:val="superscript"/>
    </w:rPr>
  </w:style>
  <w:style w:type="paragraph" w:styleId="Textedebulles">
    <w:name w:val="Balloon Text"/>
    <w:basedOn w:val="Normal"/>
    <w:semiHidden/>
    <w:rsid w:val="00BA5F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DP5613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5613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/sftpecos/Dossiers_parlementaires/5613/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FE5079F-F0E0-42A7-9FA4-B5BF65A13655}"/>
</file>

<file path=customXml/itemProps2.xml><?xml version="1.0" encoding="utf-8"?>
<ds:datastoreItem xmlns:ds="http://schemas.openxmlformats.org/officeDocument/2006/customXml" ds:itemID="{C2D0D8E8-4814-4904-AD36-D59623EE670F}"/>
</file>

<file path=customXml/itemProps3.xml><?xml version="1.0" encoding="utf-8"?>
<ds:datastoreItem xmlns:ds="http://schemas.openxmlformats.org/officeDocument/2006/customXml" ds:itemID="{E50CC823-083E-4FF9-8603-CD78D089CA9D}"/>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2769</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PL 5613 : Résumé</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2007-03-07T10:53:00Z</cp:lastPrinted>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