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84" w:rsidRPr="003E43CC" w:rsidRDefault="003E43CC" w:rsidP="003E43CC">
      <w:pPr>
        <w:autoSpaceDE w:val="0"/>
        <w:autoSpaceDN w:val="0"/>
        <w:adjustRightInd w:val="0"/>
        <w:jc w:val="both"/>
        <w:rPr>
          <w:rFonts w:ascii="Arial" w:hAnsi="Arial" w:cs="Arial"/>
          <w:b/>
          <w:bCs/>
          <w:u w:val="single"/>
        </w:rPr>
      </w:pPr>
      <w:bookmarkStart w:id="0" w:name="_GoBack"/>
      <w:bookmarkEnd w:id="0"/>
      <w:r w:rsidRPr="003E43CC">
        <w:rPr>
          <w:rFonts w:ascii="Arial" w:hAnsi="Arial" w:cs="Arial"/>
          <w:b/>
          <w:bCs/>
          <w:u w:val="single"/>
        </w:rPr>
        <w:t xml:space="preserve">Projet de loi 5582 </w:t>
      </w:r>
      <w:r w:rsidR="00487784" w:rsidRPr="003E43CC">
        <w:rPr>
          <w:rFonts w:ascii="Arial" w:hAnsi="Arial" w:cs="Arial"/>
          <w:b/>
          <w:bCs/>
          <w:u w:val="single"/>
        </w:rPr>
        <w:t>portant approbation de l’Amendement à la Convention, faite à</w:t>
      </w:r>
    </w:p>
    <w:p w:rsidR="00487784" w:rsidRPr="003E43CC" w:rsidRDefault="00487784" w:rsidP="003E43CC">
      <w:pPr>
        <w:autoSpaceDE w:val="0"/>
        <w:autoSpaceDN w:val="0"/>
        <w:adjustRightInd w:val="0"/>
        <w:jc w:val="both"/>
        <w:rPr>
          <w:rFonts w:ascii="Arial" w:hAnsi="Arial" w:cs="Arial"/>
          <w:b/>
          <w:bCs/>
          <w:u w:val="single"/>
        </w:rPr>
      </w:pPr>
      <w:r w:rsidRPr="003E43CC">
        <w:rPr>
          <w:rFonts w:ascii="Arial" w:hAnsi="Arial" w:cs="Arial"/>
          <w:b/>
          <w:bCs/>
          <w:u w:val="single"/>
        </w:rPr>
        <w:t>Aarhus (Danemark), le 25 juin 1998, sur l’accès à l’information,</w:t>
      </w:r>
      <w:r w:rsidR="003E43CC" w:rsidRPr="003E43CC">
        <w:rPr>
          <w:rFonts w:ascii="Arial" w:hAnsi="Arial" w:cs="Arial"/>
          <w:b/>
          <w:bCs/>
          <w:u w:val="single"/>
        </w:rPr>
        <w:t xml:space="preserve"> </w:t>
      </w:r>
      <w:r w:rsidRPr="003E43CC">
        <w:rPr>
          <w:rFonts w:ascii="Arial" w:hAnsi="Arial" w:cs="Arial"/>
          <w:b/>
          <w:bCs/>
          <w:u w:val="single"/>
        </w:rPr>
        <w:t>la participation du public au processus décisionnel et l’accès</w:t>
      </w:r>
      <w:r w:rsidR="003E43CC" w:rsidRPr="003E43CC">
        <w:rPr>
          <w:rFonts w:ascii="Arial" w:hAnsi="Arial" w:cs="Arial"/>
          <w:b/>
          <w:bCs/>
          <w:u w:val="single"/>
        </w:rPr>
        <w:t xml:space="preserve"> </w:t>
      </w:r>
      <w:r w:rsidRPr="003E43CC">
        <w:rPr>
          <w:rFonts w:ascii="Arial" w:hAnsi="Arial" w:cs="Arial"/>
          <w:b/>
          <w:bCs/>
          <w:u w:val="single"/>
        </w:rPr>
        <w:t>à la justice en matière d’environnement, tel qu’il a été adopté</w:t>
      </w:r>
      <w:r w:rsidR="003E43CC" w:rsidRPr="003E43CC">
        <w:rPr>
          <w:rFonts w:ascii="Arial" w:hAnsi="Arial" w:cs="Arial"/>
          <w:b/>
          <w:bCs/>
          <w:u w:val="single"/>
        </w:rPr>
        <w:t xml:space="preserve"> </w:t>
      </w:r>
      <w:r w:rsidRPr="003E43CC">
        <w:rPr>
          <w:rFonts w:ascii="Arial" w:hAnsi="Arial" w:cs="Arial"/>
          <w:b/>
          <w:bCs/>
          <w:u w:val="single"/>
        </w:rPr>
        <w:t>à la deuxième réunion des Parties à la Convention, tenue à</w:t>
      </w:r>
      <w:r w:rsidR="003E43CC" w:rsidRPr="003E43CC">
        <w:rPr>
          <w:rFonts w:ascii="Arial" w:hAnsi="Arial" w:cs="Arial"/>
          <w:b/>
          <w:bCs/>
          <w:u w:val="single"/>
        </w:rPr>
        <w:t xml:space="preserve"> </w:t>
      </w:r>
      <w:r w:rsidRPr="003E43CC">
        <w:rPr>
          <w:rFonts w:ascii="Arial" w:hAnsi="Arial" w:cs="Arial"/>
          <w:b/>
          <w:bCs/>
          <w:u w:val="single"/>
        </w:rPr>
        <w:t>Almaty (Kazakhstan) du 25 au 27 mai 2005</w:t>
      </w:r>
    </w:p>
    <w:p w:rsidR="00487784" w:rsidRPr="003E43CC" w:rsidRDefault="003E43CC" w:rsidP="003E43CC">
      <w:pPr>
        <w:autoSpaceDE w:val="0"/>
        <w:autoSpaceDN w:val="0"/>
        <w:adjustRightInd w:val="0"/>
        <w:jc w:val="both"/>
        <w:rPr>
          <w:rFonts w:ascii="Arial" w:hAnsi="Arial" w:cs="Arial"/>
          <w:b/>
          <w:u w:val="single"/>
        </w:rPr>
      </w:pPr>
      <w:r w:rsidRPr="003E43CC">
        <w:rPr>
          <w:rFonts w:ascii="Arial" w:hAnsi="Arial" w:cs="Arial"/>
          <w:b/>
          <w:u w:val="single"/>
        </w:rPr>
        <w:t>Résumé</w:t>
      </w:r>
    </w:p>
    <w:p w:rsidR="0006407A" w:rsidRPr="003E43CC" w:rsidRDefault="0006407A" w:rsidP="0006407A">
      <w:pPr>
        <w:rPr>
          <w:rFonts w:ascii="Arial" w:hAnsi="Arial" w:cs="Arial"/>
          <w:b/>
        </w:rPr>
      </w:pPr>
    </w:p>
    <w:p w:rsidR="0068641A" w:rsidRDefault="003E43CC" w:rsidP="003E43CC">
      <w:pPr>
        <w:autoSpaceDE w:val="0"/>
        <w:autoSpaceDN w:val="0"/>
        <w:adjustRightInd w:val="0"/>
        <w:jc w:val="both"/>
        <w:rPr>
          <w:rFonts w:ascii="Arial" w:eastAsia="SimSun" w:hAnsi="Arial" w:cs="Arial"/>
          <w:lang w:eastAsia="zh-CN"/>
        </w:rPr>
      </w:pPr>
      <w:r w:rsidRPr="003E43CC">
        <w:rPr>
          <w:rFonts w:ascii="Arial" w:eastAsia="SimSun" w:hAnsi="Arial" w:cs="Arial"/>
          <w:lang w:eastAsia="zh-CN"/>
        </w:rPr>
        <w:t xml:space="preserve">Le présent projet de loi </w:t>
      </w:r>
      <w:r w:rsidR="0068641A">
        <w:rPr>
          <w:rFonts w:ascii="Arial" w:eastAsia="SimSun" w:hAnsi="Arial" w:cs="Arial"/>
          <w:lang w:eastAsia="zh-CN"/>
        </w:rPr>
        <w:t>se propose d’approuver l’A</w:t>
      </w:r>
      <w:r w:rsidRPr="003E43CC">
        <w:rPr>
          <w:rFonts w:ascii="Arial" w:eastAsia="SimSun" w:hAnsi="Arial" w:cs="Arial"/>
          <w:lang w:eastAsia="zh-CN"/>
        </w:rPr>
        <w:t>mendement à la Convention sur l’accès à l’information, la participation du public au processus décisionnel et l’accès à la justice en matière d’environnement, faite à Aarhus (Danemark), le 25 juin 1998, tel qu’il a été adopté à la deuxième réunion des parties à la Convention, tenue à Almaty (Kazakhstan) du 25 au 27 mai 2005.</w:t>
      </w:r>
    </w:p>
    <w:p w:rsidR="0068641A" w:rsidRDefault="0068641A" w:rsidP="003E43CC">
      <w:pPr>
        <w:autoSpaceDE w:val="0"/>
        <w:autoSpaceDN w:val="0"/>
        <w:adjustRightInd w:val="0"/>
        <w:jc w:val="both"/>
        <w:rPr>
          <w:rFonts w:ascii="Arial" w:eastAsia="SimSun" w:hAnsi="Arial" w:cs="Arial"/>
          <w:lang w:eastAsia="zh-CN"/>
        </w:rPr>
      </w:pPr>
    </w:p>
    <w:p w:rsidR="003E43CC" w:rsidRPr="003E43CC" w:rsidRDefault="000517B7" w:rsidP="003E43CC">
      <w:pPr>
        <w:autoSpaceDE w:val="0"/>
        <w:autoSpaceDN w:val="0"/>
        <w:adjustRightInd w:val="0"/>
        <w:jc w:val="both"/>
        <w:rPr>
          <w:rFonts w:ascii="Arial" w:eastAsia="SimSun" w:hAnsi="Arial" w:cs="Arial"/>
          <w:lang w:eastAsia="zh-CN"/>
        </w:rPr>
      </w:pPr>
      <w:r>
        <w:rPr>
          <w:rFonts w:ascii="Arial" w:eastAsia="SimSun" w:hAnsi="Arial" w:cs="Arial"/>
          <w:lang w:eastAsia="zh-CN"/>
        </w:rPr>
        <w:t xml:space="preserve"> </w:t>
      </w:r>
      <w:r w:rsidR="00D35262" w:rsidRPr="003E43CC">
        <w:rPr>
          <w:rFonts w:ascii="Arial" w:eastAsia="SimSun" w:hAnsi="Arial" w:cs="Arial"/>
          <w:lang w:eastAsia="zh-CN"/>
        </w:rPr>
        <w:t xml:space="preserve">La Convention d’Aarhus </w:t>
      </w:r>
      <w:r w:rsidR="003E43CC" w:rsidRPr="003E43CC">
        <w:rPr>
          <w:rFonts w:ascii="Arial" w:eastAsia="SimSun" w:hAnsi="Arial" w:cs="Arial"/>
          <w:lang w:eastAsia="zh-CN"/>
        </w:rPr>
        <w:t>consacre</w:t>
      </w:r>
      <w:r>
        <w:rPr>
          <w:rFonts w:ascii="Arial" w:eastAsia="SimSun" w:hAnsi="Arial" w:cs="Arial"/>
          <w:lang w:eastAsia="zh-CN"/>
        </w:rPr>
        <w:t> :</w:t>
      </w:r>
    </w:p>
    <w:p w:rsidR="003E43CC" w:rsidRPr="003E43CC" w:rsidRDefault="003E43CC" w:rsidP="003E43CC">
      <w:pPr>
        <w:numPr>
          <w:ilvl w:val="0"/>
          <w:numId w:val="26"/>
        </w:numPr>
        <w:autoSpaceDE w:val="0"/>
        <w:autoSpaceDN w:val="0"/>
        <w:adjustRightInd w:val="0"/>
        <w:jc w:val="both"/>
        <w:rPr>
          <w:rFonts w:ascii="Arial" w:eastAsia="SimSun" w:hAnsi="Arial" w:cs="Arial"/>
          <w:lang w:eastAsia="zh-CN"/>
        </w:rPr>
      </w:pPr>
      <w:r w:rsidRPr="003E43CC">
        <w:rPr>
          <w:rFonts w:ascii="Arial" w:eastAsia="SimSun" w:hAnsi="Arial" w:cs="Arial"/>
          <w:lang w:eastAsia="zh-CN"/>
        </w:rPr>
        <w:t>un droit d’accès aux informations environnementales déten</w:t>
      </w:r>
      <w:r w:rsidR="0068641A">
        <w:rPr>
          <w:rFonts w:ascii="Arial" w:eastAsia="SimSun" w:hAnsi="Arial" w:cs="Arial"/>
          <w:lang w:eastAsia="zh-CN"/>
        </w:rPr>
        <w:t>ues par les autorités publiques ;</w:t>
      </w:r>
    </w:p>
    <w:p w:rsidR="003E43CC" w:rsidRPr="003E43CC" w:rsidRDefault="003E43CC" w:rsidP="003E43CC">
      <w:pPr>
        <w:numPr>
          <w:ilvl w:val="0"/>
          <w:numId w:val="26"/>
        </w:numPr>
        <w:autoSpaceDE w:val="0"/>
        <w:autoSpaceDN w:val="0"/>
        <w:adjustRightInd w:val="0"/>
        <w:jc w:val="both"/>
        <w:rPr>
          <w:rFonts w:ascii="Arial" w:eastAsia="SimSun" w:hAnsi="Arial" w:cs="Arial"/>
          <w:lang w:eastAsia="zh-CN"/>
        </w:rPr>
      </w:pPr>
      <w:r w:rsidRPr="003E43CC">
        <w:rPr>
          <w:rFonts w:ascii="Arial" w:eastAsia="SimSun" w:hAnsi="Arial" w:cs="Arial"/>
          <w:lang w:eastAsia="zh-CN"/>
        </w:rPr>
        <w:t>un droit de participation au processus décisionnel en matière d’environ</w:t>
      </w:r>
      <w:r w:rsidR="0068641A">
        <w:rPr>
          <w:rFonts w:ascii="Arial" w:eastAsia="SimSun" w:hAnsi="Arial" w:cs="Arial"/>
          <w:lang w:eastAsia="zh-CN"/>
        </w:rPr>
        <w:t>nement, dès les premiers stades ;</w:t>
      </w:r>
    </w:p>
    <w:p w:rsidR="003E43CC" w:rsidRPr="003E43CC" w:rsidRDefault="003E43CC" w:rsidP="003E43CC">
      <w:pPr>
        <w:numPr>
          <w:ilvl w:val="0"/>
          <w:numId w:val="26"/>
        </w:numPr>
        <w:autoSpaceDE w:val="0"/>
        <w:autoSpaceDN w:val="0"/>
        <w:adjustRightInd w:val="0"/>
        <w:jc w:val="both"/>
        <w:rPr>
          <w:rFonts w:ascii="Arial" w:eastAsia="SimSun" w:hAnsi="Arial" w:cs="Arial"/>
          <w:lang w:eastAsia="zh-CN"/>
        </w:rPr>
      </w:pPr>
      <w:r w:rsidRPr="003E43CC">
        <w:rPr>
          <w:rFonts w:ascii="Arial" w:eastAsia="SimSun" w:hAnsi="Arial" w:cs="Arial"/>
          <w:lang w:eastAsia="zh-CN"/>
        </w:rPr>
        <w:t>le droit de contester en justice les décisions publiques qui ne tiennent pas compte des deux droits précités ou du droit environnemental en général.</w:t>
      </w:r>
    </w:p>
    <w:p w:rsidR="00D35262" w:rsidRDefault="00D35262" w:rsidP="000517B7">
      <w:pPr>
        <w:autoSpaceDE w:val="0"/>
        <w:autoSpaceDN w:val="0"/>
        <w:adjustRightInd w:val="0"/>
        <w:jc w:val="both"/>
        <w:rPr>
          <w:rFonts w:ascii="Arial" w:eastAsia="SimSun" w:hAnsi="Arial" w:cs="Arial"/>
          <w:lang w:eastAsia="zh-CN"/>
        </w:rPr>
      </w:pPr>
    </w:p>
    <w:p w:rsidR="000517B7" w:rsidRPr="003E43CC" w:rsidRDefault="0068641A" w:rsidP="000517B7">
      <w:pPr>
        <w:autoSpaceDE w:val="0"/>
        <w:autoSpaceDN w:val="0"/>
        <w:adjustRightInd w:val="0"/>
        <w:jc w:val="both"/>
        <w:rPr>
          <w:rFonts w:ascii="Arial" w:eastAsia="SimSun" w:hAnsi="Arial" w:cs="Arial"/>
          <w:lang w:eastAsia="zh-CN"/>
        </w:rPr>
      </w:pPr>
      <w:r>
        <w:rPr>
          <w:rFonts w:ascii="Arial" w:eastAsia="SimSun" w:hAnsi="Arial" w:cs="Arial"/>
          <w:lang w:eastAsia="zh-CN"/>
        </w:rPr>
        <w:t>L’A</w:t>
      </w:r>
      <w:r w:rsidR="000517B7" w:rsidRPr="003E43CC">
        <w:rPr>
          <w:rFonts w:ascii="Arial" w:eastAsia="SimSun" w:hAnsi="Arial" w:cs="Arial"/>
          <w:lang w:eastAsia="zh-CN"/>
        </w:rPr>
        <w:t>mendement à la Convention d’Aarhus</w:t>
      </w:r>
      <w:r w:rsidR="000517B7">
        <w:rPr>
          <w:rFonts w:ascii="Arial" w:eastAsia="SimSun" w:hAnsi="Arial" w:cs="Arial"/>
          <w:lang w:eastAsia="zh-CN"/>
        </w:rPr>
        <w:t xml:space="preserve"> </w:t>
      </w:r>
      <w:r w:rsidR="000517B7" w:rsidRPr="003E43CC">
        <w:rPr>
          <w:rFonts w:ascii="Arial" w:eastAsia="SimSun" w:hAnsi="Arial" w:cs="Arial"/>
          <w:lang w:eastAsia="zh-CN"/>
        </w:rPr>
        <w:t>exige des Parties qu’elles informent et consultent le public dans tous les cas de dissémination volontaire et de mise sur le marché d’OGM et impose la prise en compte, dans le processus décisionnel, des avis émis à cette occasion. Il prévoit également que toute décision finale soit accessible au public avec ses justifications. En outre, et à l’exception des informations couvertes par le secret commercial, toutes les informations liées à la décision finale doivent être disponibles pour le public.</w:t>
      </w:r>
      <w:r>
        <w:rPr>
          <w:rFonts w:ascii="Arial" w:eastAsia="SimSun" w:hAnsi="Arial" w:cs="Arial"/>
          <w:lang w:eastAsia="zh-CN"/>
        </w:rPr>
        <w:t xml:space="preserve"> L’A</w:t>
      </w:r>
      <w:r w:rsidR="000517B7" w:rsidRPr="003E43CC">
        <w:rPr>
          <w:rFonts w:ascii="Arial" w:eastAsia="SimSun" w:hAnsi="Arial" w:cs="Arial"/>
          <w:lang w:eastAsia="zh-CN"/>
        </w:rPr>
        <w:t>mendement n’introduit pas le droit d’accès à la justice pour le public en ce qui concerne les OGM.</w:t>
      </w:r>
    </w:p>
    <w:p w:rsidR="003E43CC" w:rsidRPr="003E43CC" w:rsidRDefault="003E43CC" w:rsidP="003E43CC">
      <w:pPr>
        <w:autoSpaceDE w:val="0"/>
        <w:autoSpaceDN w:val="0"/>
        <w:adjustRightInd w:val="0"/>
        <w:jc w:val="both"/>
        <w:rPr>
          <w:rFonts w:ascii="Arial" w:eastAsia="SimSun" w:hAnsi="Arial" w:cs="Arial"/>
          <w:lang w:eastAsia="zh-CN"/>
        </w:rPr>
      </w:pPr>
    </w:p>
    <w:p w:rsidR="003E43CC" w:rsidRPr="003E43CC" w:rsidRDefault="003E43CC" w:rsidP="003E43CC">
      <w:pPr>
        <w:autoSpaceDE w:val="0"/>
        <w:autoSpaceDN w:val="0"/>
        <w:adjustRightInd w:val="0"/>
        <w:jc w:val="both"/>
        <w:rPr>
          <w:rFonts w:ascii="Arial" w:eastAsia="SimSun" w:hAnsi="Arial" w:cs="Arial"/>
          <w:iCs/>
          <w:u w:val="single"/>
          <w:lang w:eastAsia="zh-CN"/>
        </w:rPr>
      </w:pPr>
    </w:p>
    <w:p w:rsidR="003E43CC" w:rsidRPr="003E43CC" w:rsidRDefault="003E43CC" w:rsidP="003E43CC">
      <w:pPr>
        <w:autoSpaceDE w:val="0"/>
        <w:autoSpaceDN w:val="0"/>
        <w:adjustRightInd w:val="0"/>
        <w:jc w:val="both"/>
        <w:rPr>
          <w:rFonts w:ascii="Arial" w:eastAsia="SimSun" w:hAnsi="Arial" w:cs="Arial"/>
          <w:lang w:eastAsia="zh-CN"/>
        </w:rPr>
      </w:pPr>
    </w:p>
    <w:sectPr w:rsidR="003E43CC" w:rsidRPr="003E43CC" w:rsidSect="007B0D2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1C4B">
      <w:r>
        <w:separator/>
      </w:r>
    </w:p>
  </w:endnote>
  <w:endnote w:type="continuationSeparator" w:id="0">
    <w:p w:rsidR="00000000" w:rsidRDefault="0074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A" w:rsidRDefault="0068641A" w:rsidP="007B0D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8641A" w:rsidRDefault="0068641A" w:rsidP="007B0D26">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A" w:rsidRDefault="0068641A" w:rsidP="007B0D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68641A" w:rsidRDefault="0068641A" w:rsidP="007B0D26">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1C4B">
      <w:r>
        <w:separator/>
      </w:r>
    </w:p>
  </w:footnote>
  <w:footnote w:type="continuationSeparator" w:id="0">
    <w:p w:rsidR="00000000" w:rsidRDefault="00741C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5082"/>
    <w:multiLevelType w:val="hybridMultilevel"/>
    <w:tmpl w:val="01D805E4"/>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C3067"/>
    <w:multiLevelType w:val="hybridMultilevel"/>
    <w:tmpl w:val="1F0099E4"/>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B3CD9"/>
    <w:multiLevelType w:val="hybridMultilevel"/>
    <w:tmpl w:val="26B65E06"/>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45C1B"/>
    <w:multiLevelType w:val="hybridMultilevel"/>
    <w:tmpl w:val="889EBABE"/>
    <w:lvl w:ilvl="0" w:tplc="277C2658">
      <w:numFmt w:val="bullet"/>
      <w:lvlText w:val="–"/>
      <w:lvlJc w:val="left"/>
      <w:pPr>
        <w:tabs>
          <w:tab w:val="num" w:pos="1800"/>
        </w:tabs>
        <w:ind w:left="180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74A9D"/>
    <w:multiLevelType w:val="multilevel"/>
    <w:tmpl w:val="46E0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E02C0"/>
    <w:multiLevelType w:val="hybridMultilevel"/>
    <w:tmpl w:val="4A340B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4850CE"/>
    <w:multiLevelType w:val="hybridMultilevel"/>
    <w:tmpl w:val="C2E6AA66"/>
    <w:lvl w:ilvl="0" w:tplc="CD7CA9C6">
      <w:start w:val="2"/>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67D78"/>
    <w:multiLevelType w:val="hybridMultilevel"/>
    <w:tmpl w:val="8E9C8EFA"/>
    <w:lvl w:ilvl="0" w:tplc="84900B22">
      <w:start w:val="3"/>
      <w:numFmt w:val="bullet"/>
      <w:lvlText w:val="-"/>
      <w:lvlJc w:val="left"/>
      <w:pPr>
        <w:tabs>
          <w:tab w:val="num" w:pos="720"/>
        </w:tabs>
        <w:ind w:left="720" w:hanging="360"/>
      </w:pPr>
      <w:rPr>
        <w:rFonts w:ascii="Arial" w:eastAsia="Times New Roman" w:hAnsi="Arial" w:cs="Aria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9D5"/>
    <w:multiLevelType w:val="hybridMultilevel"/>
    <w:tmpl w:val="9D94CF6E"/>
    <w:lvl w:ilvl="0" w:tplc="277C2658">
      <w:numFmt w:val="bullet"/>
      <w:lvlText w:val="–"/>
      <w:lvlJc w:val="left"/>
      <w:pPr>
        <w:tabs>
          <w:tab w:val="num" w:pos="1800"/>
        </w:tabs>
        <w:ind w:left="180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A64DD"/>
    <w:multiLevelType w:val="multilevel"/>
    <w:tmpl w:val="2B90A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74867"/>
    <w:multiLevelType w:val="hybridMultilevel"/>
    <w:tmpl w:val="DC180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D447C3"/>
    <w:multiLevelType w:val="hybridMultilevel"/>
    <w:tmpl w:val="8DC43AC8"/>
    <w:lvl w:ilvl="0" w:tplc="3D78784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20776"/>
    <w:multiLevelType w:val="hybridMultilevel"/>
    <w:tmpl w:val="775C7548"/>
    <w:lvl w:ilvl="0" w:tplc="277C2658">
      <w:numFmt w:val="bullet"/>
      <w:lvlText w:val="–"/>
      <w:lvlJc w:val="left"/>
      <w:pPr>
        <w:tabs>
          <w:tab w:val="num" w:pos="1800"/>
        </w:tabs>
        <w:ind w:left="1800" w:hanging="360"/>
      </w:pPr>
      <w:rPr>
        <w:rFonts w:ascii="Arial" w:eastAsia="SimSun" w:hAnsi="Arial" w:cs="Arial" w:hint="default"/>
      </w:rPr>
    </w:lvl>
    <w:lvl w:ilvl="1" w:tplc="D2660894">
      <w:start w:val="4"/>
      <w:numFmt w:val="bullet"/>
      <w:lvlText w:val="-"/>
      <w:lvlJc w:val="left"/>
      <w:pPr>
        <w:tabs>
          <w:tab w:val="num" w:pos="2520"/>
        </w:tabs>
        <w:ind w:left="2520" w:hanging="360"/>
      </w:pPr>
      <w:rPr>
        <w:rFonts w:ascii="Arial" w:eastAsia="Times New Roman" w:hAnsi="Arial"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D051649"/>
    <w:multiLevelType w:val="hybridMultilevel"/>
    <w:tmpl w:val="FFEA4E6A"/>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511A30"/>
    <w:multiLevelType w:val="hybridMultilevel"/>
    <w:tmpl w:val="DD1ADAE0"/>
    <w:lvl w:ilvl="0" w:tplc="1E8A0550">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8E1E5B"/>
    <w:multiLevelType w:val="hybridMultilevel"/>
    <w:tmpl w:val="9DB842B4"/>
    <w:lvl w:ilvl="0" w:tplc="9724B3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769A3"/>
    <w:multiLevelType w:val="hybridMultilevel"/>
    <w:tmpl w:val="83C81138"/>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36857"/>
    <w:multiLevelType w:val="multilevel"/>
    <w:tmpl w:val="57B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22A46"/>
    <w:multiLevelType w:val="hybridMultilevel"/>
    <w:tmpl w:val="FD5AEB58"/>
    <w:lvl w:ilvl="0" w:tplc="80BE665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D15BD"/>
    <w:multiLevelType w:val="hybridMultilevel"/>
    <w:tmpl w:val="5D0E5BD2"/>
    <w:lvl w:ilvl="0" w:tplc="9724B3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262F83"/>
    <w:multiLevelType w:val="hybridMultilevel"/>
    <w:tmpl w:val="037CFCBA"/>
    <w:lvl w:ilvl="0" w:tplc="393412CC">
      <w:start w:val="11"/>
      <w:numFmt w:val="bullet"/>
      <w:lvlText w:val="-"/>
      <w:lvlJc w:val="left"/>
      <w:pPr>
        <w:tabs>
          <w:tab w:val="num" w:pos="720"/>
        </w:tabs>
        <w:ind w:left="720" w:hanging="360"/>
      </w:pPr>
      <w:rPr>
        <w:rFonts w:ascii="Arial" w:eastAsia="Times New Roman" w:hAnsi="Arial" w:cs="Arial" w:hint="default"/>
      </w:rPr>
    </w:lvl>
    <w:lvl w:ilvl="1" w:tplc="0D8623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D2D67"/>
    <w:multiLevelType w:val="hybridMultilevel"/>
    <w:tmpl w:val="0D4215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B1D441F"/>
    <w:multiLevelType w:val="hybridMultilevel"/>
    <w:tmpl w:val="272E5D60"/>
    <w:lvl w:ilvl="0" w:tplc="0D862326">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804761"/>
    <w:multiLevelType w:val="hybridMultilevel"/>
    <w:tmpl w:val="4154A582"/>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16966"/>
    <w:multiLevelType w:val="hybridMultilevel"/>
    <w:tmpl w:val="EE70DCBA"/>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C4484"/>
    <w:multiLevelType w:val="hybridMultilevel"/>
    <w:tmpl w:val="EA485FDC"/>
    <w:lvl w:ilvl="0" w:tplc="3D787842">
      <w:numFmt w:val="bullet"/>
      <w:lvlText w:val="–"/>
      <w:lvlJc w:val="left"/>
      <w:pPr>
        <w:tabs>
          <w:tab w:val="num" w:pos="720"/>
        </w:tabs>
        <w:ind w:left="720" w:hanging="360"/>
      </w:pPr>
      <w:rPr>
        <w:rFonts w:ascii="Arial" w:eastAsia="Times New Roman" w:hAnsi="Arial" w:cs="Aria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34D09"/>
    <w:multiLevelType w:val="multilevel"/>
    <w:tmpl w:val="1C50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4708A7"/>
    <w:multiLevelType w:val="hybridMultilevel"/>
    <w:tmpl w:val="488C73C2"/>
    <w:lvl w:ilvl="0" w:tplc="9724B3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02257"/>
    <w:multiLevelType w:val="hybridMultilevel"/>
    <w:tmpl w:val="AE40592A"/>
    <w:lvl w:ilvl="0" w:tplc="040C0017">
      <w:start w:val="1"/>
      <w:numFmt w:val="lowerLetter"/>
      <w:lvlText w:val="%1)"/>
      <w:lvlJc w:val="left"/>
      <w:pPr>
        <w:tabs>
          <w:tab w:val="num" w:pos="1440"/>
        </w:tabs>
        <w:ind w:left="1440" w:hanging="360"/>
      </w:pPr>
    </w:lvl>
    <w:lvl w:ilvl="1" w:tplc="DA5A51A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7"/>
  </w:num>
  <w:num w:numId="3">
    <w:abstractNumId w:val="26"/>
  </w:num>
  <w:num w:numId="4">
    <w:abstractNumId w:val="12"/>
  </w:num>
  <w:num w:numId="5">
    <w:abstractNumId w:val="3"/>
  </w:num>
  <w:num w:numId="6">
    <w:abstractNumId w:val="8"/>
  </w:num>
  <w:num w:numId="7">
    <w:abstractNumId w:val="10"/>
  </w:num>
  <w:num w:numId="8">
    <w:abstractNumId w:val="5"/>
  </w:num>
  <w:num w:numId="9">
    <w:abstractNumId w:val="21"/>
  </w:num>
  <w:num w:numId="10">
    <w:abstractNumId w:val="28"/>
  </w:num>
  <w:num w:numId="11">
    <w:abstractNumId w:val="9"/>
  </w:num>
  <w:num w:numId="12">
    <w:abstractNumId w:val="22"/>
  </w:num>
  <w:num w:numId="13">
    <w:abstractNumId w:val="23"/>
  </w:num>
  <w:num w:numId="14">
    <w:abstractNumId w:val="1"/>
  </w:num>
  <w:num w:numId="15">
    <w:abstractNumId w:val="7"/>
  </w:num>
  <w:num w:numId="16">
    <w:abstractNumId w:val="2"/>
  </w:num>
  <w:num w:numId="17">
    <w:abstractNumId w:val="14"/>
  </w:num>
  <w:num w:numId="18">
    <w:abstractNumId w:val="25"/>
  </w:num>
  <w:num w:numId="19">
    <w:abstractNumId w:val="24"/>
  </w:num>
  <w:num w:numId="20">
    <w:abstractNumId w:val="16"/>
  </w:num>
  <w:num w:numId="21">
    <w:abstractNumId w:val="0"/>
  </w:num>
  <w:num w:numId="22">
    <w:abstractNumId w:val="11"/>
  </w:num>
  <w:num w:numId="23">
    <w:abstractNumId w:val="20"/>
  </w:num>
  <w:num w:numId="24">
    <w:abstractNumId w:val="6"/>
  </w:num>
  <w:num w:numId="25">
    <w:abstractNumId w:val="13"/>
  </w:num>
  <w:num w:numId="26">
    <w:abstractNumId w:val="19"/>
  </w:num>
  <w:num w:numId="27">
    <w:abstractNumId w:val="27"/>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4A3"/>
    <w:rsid w:val="00006D13"/>
    <w:rsid w:val="00017811"/>
    <w:rsid w:val="000517B7"/>
    <w:rsid w:val="0006407A"/>
    <w:rsid w:val="000860A2"/>
    <w:rsid w:val="001002E2"/>
    <w:rsid w:val="00116A6E"/>
    <w:rsid w:val="00147A3D"/>
    <w:rsid w:val="00155F26"/>
    <w:rsid w:val="001639D5"/>
    <w:rsid w:val="001941B3"/>
    <w:rsid w:val="001C0095"/>
    <w:rsid w:val="002063E8"/>
    <w:rsid w:val="00215935"/>
    <w:rsid w:val="002413AB"/>
    <w:rsid w:val="00241D3F"/>
    <w:rsid w:val="0025774D"/>
    <w:rsid w:val="002F04A3"/>
    <w:rsid w:val="0030307D"/>
    <w:rsid w:val="00356039"/>
    <w:rsid w:val="00357FE6"/>
    <w:rsid w:val="00361B4F"/>
    <w:rsid w:val="003A3D2A"/>
    <w:rsid w:val="003E43CC"/>
    <w:rsid w:val="004046BE"/>
    <w:rsid w:val="00487784"/>
    <w:rsid w:val="00516221"/>
    <w:rsid w:val="00527897"/>
    <w:rsid w:val="00554B1B"/>
    <w:rsid w:val="005600CF"/>
    <w:rsid w:val="005661CA"/>
    <w:rsid w:val="005950A8"/>
    <w:rsid w:val="005B0610"/>
    <w:rsid w:val="005F5004"/>
    <w:rsid w:val="00606460"/>
    <w:rsid w:val="0061050D"/>
    <w:rsid w:val="006155EC"/>
    <w:rsid w:val="006427FB"/>
    <w:rsid w:val="00670617"/>
    <w:rsid w:val="0068641A"/>
    <w:rsid w:val="006B082C"/>
    <w:rsid w:val="00705178"/>
    <w:rsid w:val="007072A6"/>
    <w:rsid w:val="0073421C"/>
    <w:rsid w:val="007353CE"/>
    <w:rsid w:val="00741C4B"/>
    <w:rsid w:val="00757B29"/>
    <w:rsid w:val="00761867"/>
    <w:rsid w:val="007760E2"/>
    <w:rsid w:val="007B0D26"/>
    <w:rsid w:val="007C06E1"/>
    <w:rsid w:val="007C28E0"/>
    <w:rsid w:val="00897061"/>
    <w:rsid w:val="00A000E2"/>
    <w:rsid w:val="00A022B6"/>
    <w:rsid w:val="00A05C9C"/>
    <w:rsid w:val="00A760B8"/>
    <w:rsid w:val="00A95D62"/>
    <w:rsid w:val="00AA1740"/>
    <w:rsid w:val="00B25743"/>
    <w:rsid w:val="00B3702B"/>
    <w:rsid w:val="00B462A0"/>
    <w:rsid w:val="00B51D69"/>
    <w:rsid w:val="00BA38DD"/>
    <w:rsid w:val="00BB09E4"/>
    <w:rsid w:val="00BC6E85"/>
    <w:rsid w:val="00BE579D"/>
    <w:rsid w:val="00CA1606"/>
    <w:rsid w:val="00CB5BFC"/>
    <w:rsid w:val="00CC6B55"/>
    <w:rsid w:val="00D35262"/>
    <w:rsid w:val="00D36D08"/>
    <w:rsid w:val="00D448BB"/>
    <w:rsid w:val="00D76A20"/>
    <w:rsid w:val="00D81980"/>
    <w:rsid w:val="00D97BF4"/>
    <w:rsid w:val="00DB4005"/>
    <w:rsid w:val="00DF0C71"/>
    <w:rsid w:val="00E160EC"/>
    <w:rsid w:val="00E650FD"/>
    <w:rsid w:val="00E677C5"/>
    <w:rsid w:val="00E83F1D"/>
    <w:rsid w:val="00EA0BC6"/>
    <w:rsid w:val="00EE513B"/>
    <w:rsid w:val="00F036CA"/>
    <w:rsid w:val="00F62775"/>
    <w:rsid w:val="00F63CFD"/>
    <w:rsid w:val="00F7174F"/>
    <w:rsid w:val="00FC1247"/>
    <w:rsid w:val="00FD60FD"/>
    <w:rsid w:val="00FD6689"/>
    <w:rsid w:val="00FE61C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B75D90F-574C-4301-B72F-8BDFF092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rsid w:val="0006407A"/>
    <w:pPr>
      <w:ind w:left="1134" w:hanging="426"/>
      <w:jc w:val="both"/>
    </w:pPr>
    <w:rPr>
      <w:szCs w:val="20"/>
      <w:lang w:val="fr-CH"/>
    </w:rPr>
  </w:style>
  <w:style w:type="paragraph" w:styleId="NormalWeb">
    <w:name w:val="Normal (Web)"/>
    <w:basedOn w:val="Normal"/>
    <w:rsid w:val="0006407A"/>
    <w:pPr>
      <w:spacing w:before="100" w:beforeAutospacing="1" w:after="100" w:afterAutospacing="1"/>
    </w:pPr>
    <w:rPr>
      <w:rFonts w:eastAsia="SimSun"/>
      <w:color w:val="000033"/>
      <w:lang w:val="en-US" w:eastAsia="zh-CN"/>
    </w:rPr>
  </w:style>
  <w:style w:type="character" w:styleId="lev">
    <w:name w:val="Strong"/>
    <w:basedOn w:val="Policepardfaut"/>
    <w:qFormat/>
    <w:rsid w:val="0006407A"/>
    <w:rPr>
      <w:b/>
      <w:bCs/>
    </w:rPr>
  </w:style>
  <w:style w:type="paragraph" w:styleId="Pieddepage">
    <w:name w:val="footer"/>
    <w:basedOn w:val="Normal"/>
    <w:rsid w:val="007B0D26"/>
    <w:pPr>
      <w:tabs>
        <w:tab w:val="center" w:pos="4536"/>
        <w:tab w:val="right" w:pos="9072"/>
      </w:tabs>
    </w:pPr>
  </w:style>
  <w:style w:type="character" w:styleId="Numrodepage">
    <w:name w:val="page number"/>
    <w:basedOn w:val="Policepardfaut"/>
    <w:rsid w:val="007B0D26"/>
  </w:style>
  <w:style w:type="paragraph" w:styleId="Textedebulles">
    <w:name w:val="Balloon Text"/>
    <w:basedOn w:val="Normal"/>
    <w:semiHidden/>
    <w:rsid w:val="00086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/sftpecos/Dossiers_parlementaires/5582/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FF70D64-4B5A-4B6A-8CB0-4C661D8C6DA3}"/>
</file>

<file path=customXml/itemProps2.xml><?xml version="1.0" encoding="utf-8"?>
<ds:datastoreItem xmlns:ds="http://schemas.openxmlformats.org/officeDocument/2006/customXml" ds:itemID="{199BE8EB-46A5-43A5-9EE4-462DE195195F}"/>
</file>

<file path=customXml/itemProps3.xml><?xml version="1.0" encoding="utf-8"?>
<ds:datastoreItem xmlns:ds="http://schemas.openxmlformats.org/officeDocument/2006/customXml" ds:itemID="{94A9DC38-83AD-4477-A2D6-08542B56E73A}"/>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N° 5327</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Jean-Claude Schroeder</dc:creator>
  <cp:keywords/>
  <dc:description/>
  <cp:lastModifiedBy>SYSTEM</cp:lastModifiedBy>
  <cp:revision>2</cp:revision>
  <cp:lastPrinted>2006-10-02T07:51:00Z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