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52" w:rsidRPr="00311F5C" w:rsidRDefault="00D67D52" w:rsidP="00311F5C">
      <w:pPr>
        <w:jc w:val="both"/>
        <w:rPr>
          <w:b/>
          <w:lang w:val="fr-LU"/>
        </w:rPr>
      </w:pPr>
      <w:bookmarkStart w:id="0" w:name="_GoBack"/>
      <w:bookmarkEnd w:id="0"/>
      <w:r w:rsidRPr="00311F5C">
        <w:rPr>
          <w:b/>
          <w:lang w:val="fr-LU"/>
        </w:rPr>
        <w:t>Projet de loi</w:t>
      </w:r>
      <w:r w:rsidR="00311F5C">
        <w:rPr>
          <w:b/>
          <w:lang w:val="fr-LU"/>
        </w:rPr>
        <w:t xml:space="preserve"> </w:t>
      </w:r>
      <w:r w:rsidRPr="009E06CB">
        <w:rPr>
          <w:b/>
          <w:bCs/>
        </w:rPr>
        <w:t>adaptant certaines modalités d’application de l’échelle mobile</w:t>
      </w:r>
      <w:r>
        <w:rPr>
          <w:b/>
          <w:bCs/>
        </w:rPr>
        <w:t xml:space="preserve"> </w:t>
      </w:r>
      <w:r w:rsidRPr="009E06CB">
        <w:rPr>
          <w:b/>
          <w:bCs/>
        </w:rPr>
        <w:t>des salaires et des traitements et modifiant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>1. l’article 11 de la loi modifiée d</w:t>
      </w:r>
      <w:r>
        <w:rPr>
          <w:b/>
          <w:bCs/>
        </w:rPr>
        <w:t xml:space="preserve">u 22 juin 1963 fixant le régime </w:t>
      </w:r>
      <w:r w:rsidRPr="009E06CB">
        <w:rPr>
          <w:b/>
          <w:bCs/>
        </w:rPr>
        <w:t>des traitements des fonctionnaires de l’Etat;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>2. la loi modifiée du 27 mai 1975 portant généralisation de</w:t>
      </w:r>
      <w:r>
        <w:rPr>
          <w:b/>
          <w:bCs/>
        </w:rPr>
        <w:t xml:space="preserve"> </w:t>
      </w:r>
      <w:r w:rsidRPr="009E06CB">
        <w:rPr>
          <w:b/>
          <w:bCs/>
        </w:rPr>
        <w:t>l’échelle mobile des salaires et traitements;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>3. la loi modifiée du 20 juin 1977 ayant pour objet: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>1) d’instituer le contrôle médical systématique des femmes</w:t>
      </w:r>
      <w:r>
        <w:rPr>
          <w:b/>
          <w:bCs/>
        </w:rPr>
        <w:t xml:space="preserve"> </w:t>
      </w:r>
      <w:r w:rsidRPr="009E06CB">
        <w:rPr>
          <w:b/>
          <w:bCs/>
        </w:rPr>
        <w:t>enceintes et des enfants en bas âge;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>2) de modifier la législation existante en matière d’allocations</w:t>
      </w:r>
      <w:r>
        <w:rPr>
          <w:b/>
          <w:bCs/>
        </w:rPr>
        <w:t xml:space="preserve"> </w:t>
      </w:r>
      <w:r w:rsidRPr="009E06CB">
        <w:rPr>
          <w:b/>
          <w:bCs/>
        </w:rPr>
        <w:t>de naissance;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>4. la loi modifiée du 30 avril 1980 portant création d’une</w:t>
      </w:r>
      <w:r>
        <w:rPr>
          <w:b/>
          <w:bCs/>
        </w:rPr>
        <w:t xml:space="preserve"> </w:t>
      </w:r>
      <w:r w:rsidRPr="009E06CB">
        <w:rPr>
          <w:b/>
          <w:bCs/>
        </w:rPr>
        <w:t>allocation de maternité;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>5. la loi modifiée du 19 juin 1985 concernant les allocations</w:t>
      </w:r>
      <w:r>
        <w:rPr>
          <w:b/>
          <w:bCs/>
        </w:rPr>
        <w:t xml:space="preserve"> </w:t>
      </w:r>
      <w:r w:rsidRPr="009E06CB">
        <w:rPr>
          <w:b/>
          <w:bCs/>
        </w:rPr>
        <w:t>familiales et portant création de la caisse nationale des</w:t>
      </w:r>
      <w:r>
        <w:rPr>
          <w:b/>
          <w:bCs/>
        </w:rPr>
        <w:t xml:space="preserve"> </w:t>
      </w:r>
      <w:r w:rsidRPr="009E06CB">
        <w:rPr>
          <w:b/>
          <w:bCs/>
        </w:rPr>
        <w:t>prestations familiales;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>6. la loi modifiée du 14 juillet 19</w:t>
      </w:r>
      <w:r>
        <w:rPr>
          <w:b/>
          <w:bCs/>
        </w:rPr>
        <w:t xml:space="preserve">86 concernant la création d’une </w:t>
      </w:r>
      <w:r w:rsidRPr="009E06CB">
        <w:rPr>
          <w:b/>
          <w:bCs/>
        </w:rPr>
        <w:t>allocation de rentrée scolaire;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>7. la loi modifiée du 1er août 1988 portant création d’une</w:t>
      </w:r>
      <w:r>
        <w:rPr>
          <w:b/>
          <w:bCs/>
        </w:rPr>
        <w:t xml:space="preserve"> </w:t>
      </w:r>
      <w:r w:rsidRPr="009E06CB">
        <w:rPr>
          <w:b/>
          <w:bCs/>
        </w:rPr>
        <w:t>allocation d’éducation;</w:t>
      </w:r>
    </w:p>
    <w:p w:rsidR="00D67D52" w:rsidRPr="009E06CB" w:rsidRDefault="00D67D52" w:rsidP="00D67D52">
      <w:pPr>
        <w:autoSpaceDE w:val="0"/>
        <w:autoSpaceDN w:val="0"/>
        <w:adjustRightInd w:val="0"/>
        <w:rPr>
          <w:b/>
          <w:bCs/>
        </w:rPr>
      </w:pPr>
      <w:r w:rsidRPr="009E06CB">
        <w:rPr>
          <w:b/>
          <w:bCs/>
        </w:rPr>
        <w:t xml:space="preserve">8. la loi </w:t>
      </w:r>
      <w:r w:rsidR="001E3D2C">
        <w:rPr>
          <w:b/>
          <w:bCs/>
        </w:rPr>
        <w:t xml:space="preserve">modifiée </w:t>
      </w:r>
      <w:r w:rsidRPr="009E06CB">
        <w:rPr>
          <w:b/>
          <w:bCs/>
        </w:rPr>
        <w:t>du 12 février 1999 portant création d’un congé parental</w:t>
      </w:r>
      <w:r>
        <w:rPr>
          <w:b/>
          <w:bCs/>
        </w:rPr>
        <w:t xml:space="preserve"> </w:t>
      </w:r>
      <w:r w:rsidRPr="009E06CB">
        <w:rPr>
          <w:b/>
          <w:bCs/>
        </w:rPr>
        <w:t>et d’un congé pour raisons familiales;</w:t>
      </w:r>
    </w:p>
    <w:p w:rsidR="00D67D52" w:rsidRPr="009E06CB" w:rsidRDefault="00D67D52" w:rsidP="00D67D52">
      <w:pPr>
        <w:autoSpaceDE w:val="0"/>
        <w:autoSpaceDN w:val="0"/>
        <w:adjustRightInd w:val="0"/>
      </w:pPr>
      <w:r w:rsidRPr="009E06CB">
        <w:rPr>
          <w:b/>
          <w:bCs/>
        </w:rPr>
        <w:t>9. la loi du 28 juin 2002 portant création d’un forfait</w:t>
      </w:r>
      <w:r>
        <w:rPr>
          <w:b/>
          <w:bCs/>
        </w:rPr>
        <w:t xml:space="preserve"> </w:t>
      </w:r>
      <w:r w:rsidRPr="009E06CB">
        <w:rPr>
          <w:b/>
          <w:bCs/>
        </w:rPr>
        <w:t>d’éducation</w:t>
      </w:r>
    </w:p>
    <w:p w:rsidR="00D67D52" w:rsidRPr="00D67D52" w:rsidRDefault="00D67D52" w:rsidP="00D67D52">
      <w:pPr>
        <w:jc w:val="center"/>
        <w:rPr>
          <w:rFonts w:ascii="Arial" w:hAnsi="Arial" w:cs="Arial"/>
        </w:rPr>
      </w:pPr>
    </w:p>
    <w:p w:rsidR="00195241" w:rsidRDefault="00DB54A2" w:rsidP="00864D40">
      <w:pPr>
        <w:jc w:val="both"/>
      </w:pPr>
      <w:r w:rsidRPr="00F44862">
        <w:t xml:space="preserve">Le projet de loi a pour objet la transposition dans notre législation d’un premier paquet de mesures retenues dans l’avis du Comité de Coordination tripartite du 28 avril 2006 </w:t>
      </w:r>
      <w:r w:rsidR="00544FCC" w:rsidRPr="00F44862">
        <w:t>destinées à assurer l’équilibre des finances de l’Etat et à augmenter la compétitivité de notre économie.</w:t>
      </w:r>
      <w:r w:rsidR="007E5935" w:rsidRPr="00F44862">
        <w:t xml:space="preserve"> </w:t>
      </w:r>
    </w:p>
    <w:p w:rsidR="00195241" w:rsidRDefault="00195241" w:rsidP="00864D40">
      <w:pPr>
        <w:jc w:val="both"/>
      </w:pPr>
    </w:p>
    <w:p w:rsidR="00DB54A2" w:rsidRPr="00F44862" w:rsidRDefault="007E5935" w:rsidP="00864D40">
      <w:pPr>
        <w:jc w:val="both"/>
      </w:pPr>
      <w:r w:rsidRPr="00F44862">
        <w:t>D</w:t>
      </w:r>
      <w:r w:rsidR="00846097" w:rsidRPr="00F44862">
        <w:t xml:space="preserve">ans cette optique, cette première série de mesures a pour but de freiner la tendance à la hausse de l’inflation et par conséquent des charges salariales des entreprises et de l’administration publique. </w:t>
      </w:r>
      <w:r w:rsidR="00544FCC" w:rsidRPr="00F44862">
        <w:t xml:space="preserve">La mise en </w:t>
      </w:r>
      <w:r w:rsidR="004C71E9" w:rsidRPr="00F44862">
        <w:t>oe</w:t>
      </w:r>
      <w:r w:rsidR="00544FCC" w:rsidRPr="00F44862">
        <w:t>uvre des mesures proposées dans le présent projet revêt une certaine urgence du fait d</w:t>
      </w:r>
      <w:r w:rsidR="00E02C15" w:rsidRPr="00F44862">
        <w:t>e la date à laquelle sera atteinte</w:t>
      </w:r>
      <w:r w:rsidRPr="00F44862">
        <w:t xml:space="preserve"> la cote d’échéance devant déclencher le mécanisme</w:t>
      </w:r>
      <w:r w:rsidR="00E02C15" w:rsidRPr="00F44862">
        <w:t xml:space="preserve"> de l’échelle mobile des salaires</w:t>
      </w:r>
      <w:r w:rsidR="00EB2AFA" w:rsidRPr="00F44862">
        <w:t>, qui est le</w:t>
      </w:r>
      <w:r w:rsidR="00E02C15" w:rsidRPr="00F44862">
        <w:t xml:space="preserve"> 1</w:t>
      </w:r>
      <w:r w:rsidR="00E02C15" w:rsidRPr="00F44862">
        <w:rPr>
          <w:vertAlign w:val="superscript"/>
        </w:rPr>
        <w:t>er</w:t>
      </w:r>
      <w:r w:rsidR="00E02C15" w:rsidRPr="00F44862">
        <w:t xml:space="preserve"> </w:t>
      </w:r>
      <w:r w:rsidR="00EB2AFA" w:rsidRPr="00F44862">
        <w:t>juillet de cette année. Les autres mesures concernant les politiques de l’emploi, du logement et de l’environnement, nécessitant un travail d’analyse et de concertation avec les partenaires sociaux</w:t>
      </w:r>
      <w:r w:rsidR="00A44DD2">
        <w:t>, seront présentées par le</w:t>
      </w:r>
      <w:r w:rsidR="004C71E9" w:rsidRPr="00F44862">
        <w:t xml:space="preserve"> </w:t>
      </w:r>
      <w:r w:rsidR="00A44DD2">
        <w:t>G</w:t>
      </w:r>
      <w:r w:rsidR="004C71E9" w:rsidRPr="00F44862">
        <w:t>ouvernement dans les prochains mois.</w:t>
      </w:r>
    </w:p>
    <w:p w:rsidR="004C71E9" w:rsidRDefault="004C71E9" w:rsidP="00864D40">
      <w:pPr>
        <w:jc w:val="both"/>
      </w:pPr>
    </w:p>
    <w:p w:rsidR="00674183" w:rsidRPr="009738B2" w:rsidRDefault="00311F5C" w:rsidP="00311F5C">
      <w:pPr>
        <w:jc w:val="both"/>
        <w:rPr>
          <w:b/>
        </w:rPr>
      </w:pPr>
      <w:r>
        <w:rPr>
          <w:b/>
        </w:rPr>
        <w:t>L</w:t>
      </w:r>
      <w:r w:rsidR="009738B2" w:rsidRPr="009738B2">
        <w:rPr>
          <w:b/>
        </w:rPr>
        <w:t>es mesures prévues par le projet</w:t>
      </w:r>
    </w:p>
    <w:p w:rsidR="00674183" w:rsidRPr="00F44862" w:rsidRDefault="00674183" w:rsidP="00864D40">
      <w:pPr>
        <w:jc w:val="both"/>
      </w:pPr>
    </w:p>
    <w:p w:rsidR="00FA7756" w:rsidRPr="009738B2" w:rsidRDefault="00311F5C" w:rsidP="00311F5C">
      <w:pPr>
        <w:jc w:val="both"/>
        <w:rPr>
          <w:b/>
        </w:rPr>
      </w:pPr>
      <w:r>
        <w:rPr>
          <w:b/>
        </w:rPr>
        <w:t xml:space="preserve">1. </w:t>
      </w:r>
      <w:r w:rsidR="00864D40" w:rsidRPr="009738B2">
        <w:rPr>
          <w:b/>
        </w:rPr>
        <w:t>A</w:t>
      </w:r>
      <w:r w:rsidR="00B863B6" w:rsidRPr="009738B2">
        <w:rPr>
          <w:b/>
        </w:rPr>
        <w:t>pplication de l’échelle mobile des salaires</w:t>
      </w:r>
    </w:p>
    <w:p w:rsidR="00FA7756" w:rsidRDefault="00FA7756" w:rsidP="00864D40">
      <w:pPr>
        <w:jc w:val="both"/>
      </w:pPr>
    </w:p>
    <w:p w:rsidR="00864D40" w:rsidRDefault="00FA7756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864D40">
        <w:rPr>
          <w:rFonts w:ascii="Times-Roman" w:hAnsi="Times-Roman" w:cs="Times-Roman"/>
        </w:rPr>
        <w:t>Afin de limiter les effets de l’inflation élevée, le Gouvernement propose à la Chambre des Députés,</w:t>
      </w:r>
      <w:r w:rsidR="00864D40" w:rsidRPr="00864D40">
        <w:rPr>
          <w:rFonts w:ascii="Times-Roman" w:hAnsi="Times-Roman" w:cs="Times-Roman"/>
        </w:rPr>
        <w:t xml:space="preserve"> </w:t>
      </w:r>
      <w:r w:rsidRPr="00864D40">
        <w:rPr>
          <w:rFonts w:ascii="Times-Roman" w:hAnsi="Times-Roman" w:cs="Times-Roman"/>
        </w:rPr>
        <w:t>conformément à son accord avec les partenaires sociaux, de fixer l’application des tranches indiciaires</w:t>
      </w:r>
      <w:r w:rsidR="00864D40" w:rsidRPr="00864D40">
        <w:rPr>
          <w:rFonts w:ascii="Times-Roman" w:hAnsi="Times-Roman" w:cs="Times-Roman"/>
        </w:rPr>
        <w:t xml:space="preserve"> </w:t>
      </w:r>
      <w:r w:rsidRPr="00864D40">
        <w:rPr>
          <w:rFonts w:ascii="Times-Roman" w:hAnsi="Times-Roman" w:cs="Times-Roman"/>
        </w:rPr>
        <w:t>pour la période 2006-2009 à respectivement décembre 2006, janvier 2008 et janvier 2009. Il est encore</w:t>
      </w:r>
      <w:r w:rsidR="00864D40" w:rsidRPr="00864D40">
        <w:rPr>
          <w:rFonts w:ascii="Times-Roman" w:hAnsi="Times-Roman" w:cs="Times-Roman"/>
        </w:rPr>
        <w:t xml:space="preserve"> </w:t>
      </w:r>
      <w:r w:rsidRPr="00864D40">
        <w:rPr>
          <w:rFonts w:ascii="Times-Roman" w:hAnsi="Times-Roman" w:cs="Times-Roman"/>
        </w:rPr>
        <w:t>précisé que les adaptations des salaires prévues pour 2008 et 2009 seront reculées de deux mois supplémentaires</w:t>
      </w:r>
      <w:r w:rsidR="00864D40" w:rsidRPr="00864D40">
        <w:rPr>
          <w:rFonts w:ascii="Times-Roman" w:hAnsi="Times-Roman" w:cs="Times-Roman"/>
        </w:rPr>
        <w:t xml:space="preserve"> </w:t>
      </w:r>
      <w:r w:rsidRPr="00864D40">
        <w:rPr>
          <w:rFonts w:ascii="Times-Roman" w:hAnsi="Times-Roman" w:cs="Times-Roman"/>
        </w:rPr>
        <w:t xml:space="preserve">au cas où le prix du baril de pétrole Brent </w:t>
      </w:r>
      <w:r w:rsidR="00FF02AF">
        <w:rPr>
          <w:rFonts w:ascii="Times-Roman" w:hAnsi="Times-Roman" w:cs="Times-Roman"/>
        </w:rPr>
        <w:t>serait égal ou supérieur à</w:t>
      </w:r>
      <w:r w:rsidRPr="00864D40">
        <w:rPr>
          <w:rFonts w:ascii="Times-Roman" w:hAnsi="Times-Roman" w:cs="Times-Roman"/>
        </w:rPr>
        <w:t xml:space="preserve"> 63 dollars US en moyenne pour</w:t>
      </w:r>
      <w:r w:rsidR="00864D40" w:rsidRPr="00864D40">
        <w:rPr>
          <w:rFonts w:ascii="Times-Roman" w:hAnsi="Times-Roman" w:cs="Times-Roman"/>
        </w:rPr>
        <w:t xml:space="preserve"> </w:t>
      </w:r>
      <w:r w:rsidRPr="00864D40">
        <w:rPr>
          <w:rFonts w:ascii="Times-Roman" w:hAnsi="Times-Roman" w:cs="Times-Roman"/>
        </w:rPr>
        <w:t xml:space="preserve">le restant de l’année 2006 et les années 2007 et 2008. </w:t>
      </w:r>
    </w:p>
    <w:p w:rsidR="00FF02AF" w:rsidRPr="00864D40" w:rsidRDefault="00FF02AF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B863B6" w:rsidRPr="009738B2" w:rsidRDefault="00311F5C" w:rsidP="00311F5C">
      <w:pPr>
        <w:jc w:val="both"/>
        <w:rPr>
          <w:b/>
        </w:rPr>
      </w:pPr>
      <w:r>
        <w:rPr>
          <w:b/>
        </w:rPr>
        <w:t xml:space="preserve">2. </w:t>
      </w:r>
      <w:r w:rsidR="00B863B6" w:rsidRPr="009738B2">
        <w:rPr>
          <w:b/>
        </w:rPr>
        <w:t xml:space="preserve">Neutralisation de certaines taxes et prélèvements </w:t>
      </w:r>
    </w:p>
    <w:p w:rsidR="00864D40" w:rsidRDefault="00864D40" w:rsidP="00864D40">
      <w:pPr>
        <w:jc w:val="both"/>
      </w:pPr>
    </w:p>
    <w:p w:rsidR="00864D40" w:rsidRPr="00864D40" w:rsidRDefault="00864D40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864D40">
        <w:rPr>
          <w:rFonts w:ascii="Times-Roman" w:hAnsi="Times-Roman" w:cs="Times-Roman"/>
        </w:rPr>
        <w:t xml:space="preserve">En accord avec les partenaires sociaux, il est proposé de neutraliser du point de vue de l’échelle mobile des salaires les taxes et accises prélevées sur certains biens pour être affectées à des objectifs écologiques ou de santé publique. L’objectif de cette politique de </w:t>
      </w:r>
      <w:r w:rsidRPr="00864D40">
        <w:rPr>
          <w:rFonts w:ascii="Times-Roman" w:hAnsi="Times-Roman" w:cs="Times-Roman"/>
        </w:rPr>
        <w:lastRenderedPageBreak/>
        <w:t>neutralisation est d’éliminer les effets pervers de leurs répercussions sur l’adaptation des salaires par le biais de l’échelle mobile.</w:t>
      </w:r>
    </w:p>
    <w:p w:rsidR="00864D40" w:rsidRPr="00864D40" w:rsidRDefault="00864D40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B863B6" w:rsidRPr="009738B2" w:rsidRDefault="00311F5C" w:rsidP="00311F5C">
      <w:pPr>
        <w:jc w:val="both"/>
        <w:rPr>
          <w:b/>
        </w:rPr>
      </w:pPr>
      <w:r>
        <w:rPr>
          <w:b/>
        </w:rPr>
        <w:t xml:space="preserve">3. </w:t>
      </w:r>
      <w:r w:rsidR="00B863B6" w:rsidRPr="009738B2">
        <w:rPr>
          <w:b/>
        </w:rPr>
        <w:t>Suppression de l’indexation d</w:t>
      </w:r>
      <w:r w:rsidR="009738B2">
        <w:rPr>
          <w:b/>
        </w:rPr>
        <w:t xml:space="preserve">’autres prestations, notamment </w:t>
      </w:r>
      <w:r w:rsidR="00B863B6" w:rsidRPr="009738B2">
        <w:rPr>
          <w:b/>
        </w:rPr>
        <w:t>familiales</w:t>
      </w:r>
    </w:p>
    <w:p w:rsidR="00864D40" w:rsidRDefault="00864D40" w:rsidP="00864D40">
      <w:pPr>
        <w:jc w:val="both"/>
      </w:pPr>
    </w:p>
    <w:p w:rsidR="00864D40" w:rsidRPr="00864D40" w:rsidRDefault="00864D40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864D40">
        <w:rPr>
          <w:rFonts w:ascii="Times-Roman" w:hAnsi="Times-Roman" w:cs="Times-Roman"/>
        </w:rPr>
        <w:t>A l’heure actuelle, les montants des prestations familiales et de l’indemnité de congé parental sont déterminés par référence à l’indice cent du coût de la vie raccordé à la base de l’indice 1948. Les montants varient dès lors en fonction de cet indice dans la mesure et suivant les modalités applicables aux traitements des fonctionnaires de l’Etat.</w:t>
      </w:r>
    </w:p>
    <w:p w:rsidR="00864D40" w:rsidRPr="00864D40" w:rsidRDefault="00864D40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864D40" w:rsidRPr="00864D40" w:rsidRDefault="00864D40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864D40">
        <w:rPr>
          <w:rFonts w:ascii="Times-Roman" w:hAnsi="Times-Roman" w:cs="Times-Roman"/>
        </w:rPr>
        <w:t>Le Gouvernement propose l’abrogation du système d’indexation actuel de sorte que les différentes prestations familiales et l’indemnité de congé parental sont désormais fixées à leur valeur nominale. Il s’ensuit que le barème actuellement appliqué des prestations en question est bloqué à son niveau actuel</w:t>
      </w:r>
      <w:r>
        <w:rPr>
          <w:rFonts w:ascii="Times-Roman" w:hAnsi="Times-Roman" w:cs="Times-Roman"/>
        </w:rPr>
        <w:t xml:space="preserve">. </w:t>
      </w:r>
      <w:r w:rsidRPr="00864D40">
        <w:rPr>
          <w:rFonts w:ascii="Times-Roman" w:hAnsi="Times-Roman" w:cs="Times-Roman"/>
        </w:rPr>
        <w:t>Ainsi, le montant réel des prestations payées par la caisse nationale des prestations familiales et de l’indemnité de congé parental est indiqué directement dans la loi.</w:t>
      </w:r>
      <w:r>
        <w:rPr>
          <w:rFonts w:ascii="Times-Roman" w:hAnsi="Times-Roman" w:cs="Times-Roman"/>
        </w:rPr>
        <w:t xml:space="preserve"> La même démarche est adoptée pour empêcher la progression automatique du montant du forfait d’éducation. </w:t>
      </w:r>
    </w:p>
    <w:p w:rsidR="00864D40" w:rsidRDefault="00864D40" w:rsidP="00864D40">
      <w:pPr>
        <w:jc w:val="both"/>
      </w:pPr>
    </w:p>
    <w:p w:rsidR="003379CB" w:rsidRPr="009738B2" w:rsidRDefault="003379CB" w:rsidP="00311F5C">
      <w:pPr>
        <w:jc w:val="both"/>
        <w:rPr>
          <w:b/>
        </w:rPr>
      </w:pPr>
      <w:r>
        <w:rPr>
          <w:b/>
        </w:rPr>
        <w:t>Impact budgétaire des mesures préconisées</w:t>
      </w:r>
    </w:p>
    <w:p w:rsidR="003379CB" w:rsidRPr="00F44862" w:rsidRDefault="003379CB" w:rsidP="00864D40">
      <w:pPr>
        <w:jc w:val="both"/>
      </w:pPr>
    </w:p>
    <w:p w:rsidR="00FA7756" w:rsidRDefault="00FA7756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A7756">
        <w:rPr>
          <w:rFonts w:ascii="Times-Roman" w:hAnsi="Times-Roman" w:cs="Times-Roman"/>
        </w:rPr>
        <w:t>Les mesures proposées n’engendrent aucun coût budgétaire, mais permettent de réaliser les économies détaillées ci-après au niveau des budgets de l’Etat des années 2007, 2008 et 2009.</w:t>
      </w:r>
    </w:p>
    <w:p w:rsidR="00864D40" w:rsidRPr="00FA7756" w:rsidRDefault="00864D40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A7756" w:rsidRPr="00FA7756" w:rsidRDefault="00FA7756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A7756">
        <w:rPr>
          <w:rFonts w:ascii="Times-Roman" w:hAnsi="Times-Roman" w:cs="Times-Roman"/>
        </w:rPr>
        <w:t>• Modulation du système d’indexation des salaires, traitements, pensions et rentes à l’indice du coût de la vie:</w:t>
      </w:r>
    </w:p>
    <w:p w:rsidR="00864D40" w:rsidRDefault="00864D40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A7756" w:rsidRPr="00FA7756" w:rsidRDefault="00FA7756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A7756">
        <w:rPr>
          <w:rFonts w:ascii="Times-Roman" w:hAnsi="Times-Roman" w:cs="Times-Roman"/>
        </w:rPr>
        <w:t>2007: -69,0 millions d’euros;</w:t>
      </w:r>
    </w:p>
    <w:p w:rsidR="00FA7756" w:rsidRPr="00FA7756" w:rsidRDefault="00FA7756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A7756">
        <w:rPr>
          <w:rFonts w:ascii="Times-Roman" w:hAnsi="Times-Roman" w:cs="Times-Roman"/>
        </w:rPr>
        <w:t>2008: -82,4 millions d’euros;</w:t>
      </w:r>
    </w:p>
    <w:p w:rsidR="00FA7756" w:rsidRDefault="00FA7756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A7756">
        <w:rPr>
          <w:rFonts w:ascii="Times-Roman" w:hAnsi="Times-Roman" w:cs="Times-Roman"/>
        </w:rPr>
        <w:t>2009: -68,7 millions d’euros.</w:t>
      </w:r>
    </w:p>
    <w:p w:rsidR="00864D40" w:rsidRPr="00FA7756" w:rsidRDefault="00864D40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A7756" w:rsidRPr="00FA7756" w:rsidRDefault="00FA7756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A7756">
        <w:rPr>
          <w:rFonts w:ascii="Times-Roman" w:hAnsi="Times-Roman" w:cs="Times-Roman"/>
        </w:rPr>
        <w:t>• Désindexation des prestations payées par la Caisse nationale des Prestations familiales ainsi que du forfait d’éducation:</w:t>
      </w:r>
    </w:p>
    <w:p w:rsidR="00864D40" w:rsidRDefault="00864D40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FA7756" w:rsidRPr="00FA7756" w:rsidRDefault="00FA7756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A7756">
        <w:rPr>
          <w:rFonts w:ascii="Times-Roman" w:hAnsi="Times-Roman" w:cs="Times-Roman"/>
        </w:rPr>
        <w:t>2007: -16,7 millions d’euros;</w:t>
      </w:r>
    </w:p>
    <w:p w:rsidR="00FA7756" w:rsidRPr="00FA7756" w:rsidRDefault="00FA7756" w:rsidP="00864D4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A7756">
        <w:rPr>
          <w:rFonts w:ascii="Times-Roman" w:hAnsi="Times-Roman" w:cs="Times-Roman"/>
        </w:rPr>
        <w:t>2008: -32,6 millions d’euros;</w:t>
      </w:r>
    </w:p>
    <w:p w:rsidR="00472BF1" w:rsidRPr="00311F5C" w:rsidRDefault="00FA7756" w:rsidP="00311F5C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A7756">
        <w:rPr>
          <w:rFonts w:ascii="Times-Roman" w:hAnsi="Times-Roman" w:cs="Times-Roman"/>
        </w:rPr>
        <w:t>2009: -56,0 millions d’euros.</w:t>
      </w:r>
    </w:p>
    <w:sectPr w:rsidR="00472BF1" w:rsidRPr="00311F5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7A49">
      <w:r>
        <w:separator/>
      </w:r>
    </w:p>
  </w:endnote>
  <w:endnote w:type="continuationSeparator" w:id="0">
    <w:p w:rsidR="00000000" w:rsidRDefault="0038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5C" w:rsidRDefault="00311F5C" w:rsidP="008815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11F5C" w:rsidRDefault="00311F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5C" w:rsidRDefault="00311F5C" w:rsidP="008815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87A4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11F5C" w:rsidRDefault="00311F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7A49">
      <w:r>
        <w:separator/>
      </w:r>
    </w:p>
  </w:footnote>
  <w:footnote w:type="continuationSeparator" w:id="0">
    <w:p w:rsidR="00000000" w:rsidRDefault="0038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8E3"/>
    <w:multiLevelType w:val="hybridMultilevel"/>
    <w:tmpl w:val="4CBA06EA"/>
    <w:lvl w:ilvl="0" w:tplc="E80001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45A8"/>
    <w:multiLevelType w:val="multilevel"/>
    <w:tmpl w:val="EDC2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66164F4"/>
    <w:multiLevelType w:val="hybridMultilevel"/>
    <w:tmpl w:val="5F1E7214"/>
    <w:lvl w:ilvl="0" w:tplc="18608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2CB"/>
    <w:rsid w:val="000070A7"/>
    <w:rsid w:val="00097DBB"/>
    <w:rsid w:val="000E2EF3"/>
    <w:rsid w:val="00157D01"/>
    <w:rsid w:val="00195241"/>
    <w:rsid w:val="001E3D2C"/>
    <w:rsid w:val="002475EA"/>
    <w:rsid w:val="002B74C0"/>
    <w:rsid w:val="0030223D"/>
    <w:rsid w:val="00311F5C"/>
    <w:rsid w:val="00326B09"/>
    <w:rsid w:val="003379CB"/>
    <w:rsid w:val="00376E5F"/>
    <w:rsid w:val="00387A49"/>
    <w:rsid w:val="004062CB"/>
    <w:rsid w:val="00472BF1"/>
    <w:rsid w:val="004C1642"/>
    <w:rsid w:val="004C71E9"/>
    <w:rsid w:val="004E4A43"/>
    <w:rsid w:val="004E68B2"/>
    <w:rsid w:val="00544FCC"/>
    <w:rsid w:val="005C1D4D"/>
    <w:rsid w:val="005D4BB5"/>
    <w:rsid w:val="0067380C"/>
    <w:rsid w:val="00674183"/>
    <w:rsid w:val="006821B0"/>
    <w:rsid w:val="00763078"/>
    <w:rsid w:val="00776964"/>
    <w:rsid w:val="0078407C"/>
    <w:rsid w:val="007A154D"/>
    <w:rsid w:val="007D2A04"/>
    <w:rsid w:val="007E5935"/>
    <w:rsid w:val="007F6BFD"/>
    <w:rsid w:val="00846097"/>
    <w:rsid w:val="00856A17"/>
    <w:rsid w:val="00864D40"/>
    <w:rsid w:val="008815AD"/>
    <w:rsid w:val="008C18B1"/>
    <w:rsid w:val="00927E6D"/>
    <w:rsid w:val="009738B2"/>
    <w:rsid w:val="009C2728"/>
    <w:rsid w:val="00A11D17"/>
    <w:rsid w:val="00A41BF7"/>
    <w:rsid w:val="00A44DD2"/>
    <w:rsid w:val="00AB60D5"/>
    <w:rsid w:val="00B863B6"/>
    <w:rsid w:val="00C56844"/>
    <w:rsid w:val="00C63034"/>
    <w:rsid w:val="00C76E78"/>
    <w:rsid w:val="00CE3D1C"/>
    <w:rsid w:val="00CE770B"/>
    <w:rsid w:val="00D67D52"/>
    <w:rsid w:val="00DB0881"/>
    <w:rsid w:val="00DB54A2"/>
    <w:rsid w:val="00DF7C2D"/>
    <w:rsid w:val="00E02C15"/>
    <w:rsid w:val="00EB2AFA"/>
    <w:rsid w:val="00F44862"/>
    <w:rsid w:val="00FA775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D9DFC50-0C08-4652-8A6E-AD57E2EA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4C164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1642"/>
  </w:style>
  <w:style w:type="paragraph" w:styleId="Textedebulles">
    <w:name w:val="Balloon Text"/>
    <w:basedOn w:val="Normal"/>
    <w:semiHidden/>
    <w:rsid w:val="004C1642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D67D52"/>
    <w:pPr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FC36FDC-AA98-43A3-8A87-6DE4F897C514}"/>
</file>

<file path=customXml/itemProps2.xml><?xml version="1.0" encoding="utf-8"?>
<ds:datastoreItem xmlns:ds="http://schemas.openxmlformats.org/officeDocument/2006/customXml" ds:itemID="{3D44EA04-E55F-4A45-96E2-D3EB5251C383}"/>
</file>

<file path=customXml/itemProps3.xml><?xml version="1.0" encoding="utf-8"?>
<ds:datastoreItem xmlns:ds="http://schemas.openxmlformats.org/officeDocument/2006/customXml" ds:itemID="{4CDF8810-0B1B-4D4B-923D-54E871CD6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rapport de la Commission des Finances et du Budget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Norbert Haupert</dc:creator>
  <cp:keywords/>
  <dc:description/>
  <cp:lastModifiedBy>SYSTEM</cp:lastModifiedBy>
  <cp:revision>2</cp:revision>
  <cp:lastPrinted>2006-06-22T10:41:00Z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