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90" w:rsidRPr="00027B90" w:rsidRDefault="00027B90" w:rsidP="00027B90">
      <w:pPr>
        <w:spacing w:after="120"/>
        <w:jc w:val="both"/>
        <w:rPr>
          <w:rFonts w:ascii="Arial" w:hAnsi="Arial" w:cs="Arial"/>
          <w:b/>
          <w:sz w:val="22"/>
          <w:szCs w:val="22"/>
          <w:lang w:val="fr-CH"/>
        </w:rPr>
      </w:pPr>
      <w:bookmarkStart w:id="0" w:name="_GoBack"/>
      <w:bookmarkEnd w:id="0"/>
      <w:r w:rsidRPr="00027B90">
        <w:rPr>
          <w:rFonts w:ascii="Arial" w:hAnsi="Arial" w:cs="Arial"/>
          <w:b/>
          <w:sz w:val="22"/>
          <w:szCs w:val="22"/>
          <w:lang w:val="fr-CH"/>
        </w:rPr>
        <w:t>Résumé</w:t>
      </w:r>
    </w:p>
    <w:p w:rsidR="00027B90" w:rsidRPr="00027B90" w:rsidRDefault="00027B90" w:rsidP="00027B90">
      <w:pPr>
        <w:spacing w:after="120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027B90">
        <w:rPr>
          <w:rFonts w:ascii="Arial" w:hAnsi="Arial" w:cs="Arial"/>
          <w:b/>
          <w:sz w:val="22"/>
          <w:szCs w:val="22"/>
          <w:lang w:val="fr-CH"/>
        </w:rPr>
        <w:t>Projet n° 5516</w:t>
      </w:r>
    </w:p>
    <w:p w:rsidR="00027B90" w:rsidRPr="00027B90" w:rsidRDefault="00027B90" w:rsidP="00027B90">
      <w:pPr>
        <w:spacing w:after="12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27B90">
        <w:rPr>
          <w:rFonts w:ascii="Arial" w:hAnsi="Arial" w:cs="Arial"/>
          <w:b/>
          <w:sz w:val="22"/>
          <w:szCs w:val="22"/>
          <w:lang w:val="fr-FR"/>
        </w:rPr>
        <w:t xml:space="preserve">Loi en projet relative à la création d’un </w:t>
      </w:r>
      <w:r w:rsidRPr="00027B90">
        <w:rPr>
          <w:rFonts w:ascii="Arial" w:hAnsi="Arial" w:cs="Arial"/>
          <w:b/>
          <w:bCs/>
          <w:sz w:val="22"/>
          <w:szCs w:val="22"/>
          <w:lang w:val="fr-FR"/>
        </w:rPr>
        <w:t>Institut luxembourgeois de la normalisation, de l’accréditation, de la sécurité et qualité des produits et services .</w:t>
      </w:r>
    </w:p>
    <w:p w:rsidR="00027B90" w:rsidRPr="00027B90" w:rsidRDefault="00027B90" w:rsidP="00027B90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</w:p>
    <w:p w:rsidR="00027B90" w:rsidRPr="00F535B2" w:rsidRDefault="00027B90" w:rsidP="00027B90">
      <w:pPr>
        <w:spacing w:after="12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Le projet de loi sous examen vise à regrouper pour des raisons de complémentarité, d’efficacité et de simplification administrative, dans une seule administration, des missions qui sont jusqu’à présent dans les attributions de plusieurs structures publiques :</w:t>
      </w:r>
    </w:p>
    <w:p w:rsidR="00027B90" w:rsidRDefault="00027B90" w:rsidP="00027B9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70807">
        <w:rPr>
          <w:rFonts w:ascii="Arial" w:hAnsi="Arial" w:cs="Arial"/>
          <w:bCs/>
          <w:sz w:val="22"/>
          <w:szCs w:val="22"/>
        </w:rPr>
        <w:t xml:space="preserve">la normalisation, la surveillance du marché dans le domaine des équipements électriques et de télécommunication, la gestion des concessions </w:t>
      </w:r>
      <w:r w:rsidRPr="00965421">
        <w:rPr>
          <w:rFonts w:ascii="Arial" w:hAnsi="Arial" w:cs="Arial"/>
          <w:bCs/>
          <w:sz w:val="22"/>
          <w:szCs w:val="22"/>
        </w:rPr>
        <w:t xml:space="preserve">pour électriciens </w:t>
      </w:r>
      <w:r>
        <w:rPr>
          <w:rFonts w:ascii="Arial" w:hAnsi="Arial" w:cs="Arial"/>
          <w:bCs/>
          <w:sz w:val="22"/>
          <w:szCs w:val="22"/>
        </w:rPr>
        <w:t>(autorisations dans le nouveau projet) ainsi que</w:t>
      </w:r>
      <w:r w:rsidRPr="00370807">
        <w:rPr>
          <w:rFonts w:ascii="Arial" w:hAnsi="Arial" w:cs="Arial"/>
          <w:bCs/>
          <w:sz w:val="22"/>
          <w:szCs w:val="22"/>
        </w:rPr>
        <w:t xml:space="preserve"> l’exécution de la procédure d'information dans le domaine des normes et règles techniques et des règles relatives aux services de la société de l'information sont </w:t>
      </w:r>
      <w:r>
        <w:rPr>
          <w:rFonts w:ascii="Arial" w:hAnsi="Arial" w:cs="Arial"/>
          <w:bCs/>
          <w:sz w:val="22"/>
          <w:szCs w:val="22"/>
        </w:rPr>
        <w:t xml:space="preserve">actuellement </w:t>
      </w:r>
      <w:r w:rsidRPr="00370807">
        <w:rPr>
          <w:rFonts w:ascii="Arial" w:hAnsi="Arial" w:cs="Arial"/>
          <w:bCs/>
          <w:sz w:val="22"/>
          <w:szCs w:val="22"/>
        </w:rPr>
        <w:t>dans les attributions du Service de l'Energie de l'Etat ;</w:t>
      </w:r>
    </w:p>
    <w:p w:rsidR="00027B90" w:rsidRPr="00370807" w:rsidRDefault="00027B90" w:rsidP="00027B9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6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la surveillance du marché des jouets est réalisée par l’Inspection du Travail et des Mines ;</w:t>
      </w:r>
    </w:p>
    <w:p w:rsidR="00027B90" w:rsidRPr="00370807" w:rsidRDefault="00027B90" w:rsidP="00027B9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l’accréditation et</w:t>
      </w:r>
      <w:r w:rsidRPr="00370807">
        <w:rPr>
          <w:rFonts w:ascii="Arial" w:hAnsi="Arial" w:cs="Arial"/>
          <w:bCs/>
          <w:sz w:val="22"/>
          <w:szCs w:val="22"/>
        </w:rPr>
        <w:t xml:space="preserve"> la sécurité générale des produits sont dans les attributions du Ministère de l'Economie et du Commerce extérieur ;</w:t>
      </w:r>
    </w:p>
    <w:p w:rsidR="00027B90" w:rsidRPr="00370807" w:rsidRDefault="00027B90" w:rsidP="00027B9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70807">
        <w:rPr>
          <w:rFonts w:ascii="Arial" w:hAnsi="Arial" w:cs="Arial"/>
          <w:bCs/>
          <w:sz w:val="22"/>
          <w:szCs w:val="22"/>
        </w:rPr>
        <w:t xml:space="preserve">la métrologie légale est </w:t>
      </w:r>
      <w:r>
        <w:rPr>
          <w:rFonts w:ascii="Arial" w:hAnsi="Arial" w:cs="Arial"/>
          <w:bCs/>
          <w:sz w:val="22"/>
          <w:szCs w:val="22"/>
        </w:rPr>
        <w:t>un service de</w:t>
      </w:r>
      <w:r w:rsidRPr="00370807">
        <w:rPr>
          <w:rFonts w:ascii="Arial" w:hAnsi="Arial" w:cs="Arial"/>
          <w:bCs/>
          <w:sz w:val="22"/>
          <w:szCs w:val="22"/>
        </w:rPr>
        <w:t xml:space="preserve"> l'Administration des contributions directes ;</w:t>
      </w:r>
    </w:p>
    <w:p w:rsidR="00027B90" w:rsidRDefault="00027B90" w:rsidP="00027B90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after="6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4751">
        <w:rPr>
          <w:rFonts w:ascii="Arial" w:hAnsi="Arial" w:cs="Arial"/>
          <w:bCs/>
          <w:color w:val="000000"/>
          <w:sz w:val="22"/>
          <w:szCs w:val="22"/>
        </w:rPr>
        <w:t xml:space="preserve">la notification d’organismes </w:t>
      </w:r>
      <w:r w:rsidRPr="00E74751">
        <w:rPr>
          <w:rFonts w:ascii="Arial" w:hAnsi="Arial" w:cs="Arial"/>
          <w:bCs/>
          <w:sz w:val="22"/>
          <w:szCs w:val="22"/>
          <w:shd w:val="clear" w:color="auto" w:fill="FFFFFF"/>
        </w:rPr>
        <w:t>au sens de la législation luxembourgeoise transposant les directives communautaires élaborées selon la technique législative dite « de la nouvelle approche »</w:t>
      </w:r>
      <w:r w:rsidRPr="00E7475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est répartie</w:t>
      </w:r>
      <w:r w:rsidRPr="00E74751">
        <w:rPr>
          <w:rFonts w:ascii="Arial" w:hAnsi="Arial" w:cs="Arial"/>
          <w:bCs/>
          <w:color w:val="000000"/>
          <w:sz w:val="22"/>
          <w:szCs w:val="22"/>
        </w:rPr>
        <w:t xml:space="preserve"> entre le Ministère de l’Economie et</w:t>
      </w:r>
      <w:r w:rsidRPr="00E74751">
        <w:rPr>
          <w:rFonts w:ascii="Arial" w:hAnsi="Arial" w:cs="Arial"/>
          <w:bCs/>
          <w:sz w:val="22"/>
          <w:szCs w:val="22"/>
        </w:rPr>
        <w:t xml:space="preserve"> du Commerce extérieur, le Ministère de </w:t>
      </w:r>
      <w:smartTag w:uri="urn:schemas-microsoft-com:office:smarttags" w:element="PersonName">
        <w:smartTagPr>
          <w:attr w:name="ProductID" w:val="la Sant￩"/>
        </w:smartTagPr>
        <w:r w:rsidRPr="00E74751">
          <w:rPr>
            <w:rFonts w:ascii="Arial" w:hAnsi="Arial" w:cs="Arial"/>
            <w:bCs/>
            <w:sz w:val="22"/>
            <w:szCs w:val="22"/>
          </w:rPr>
          <w:t>la Santé</w:t>
        </w:r>
      </w:smartTag>
      <w:r w:rsidRPr="00E74751">
        <w:rPr>
          <w:rFonts w:ascii="Arial" w:hAnsi="Arial" w:cs="Arial"/>
          <w:bCs/>
          <w:sz w:val="22"/>
          <w:szCs w:val="22"/>
        </w:rPr>
        <w:t xml:space="preserve">, le Ministère du Travail </w:t>
      </w:r>
      <w:r>
        <w:rPr>
          <w:rFonts w:ascii="Arial" w:hAnsi="Arial" w:cs="Arial"/>
          <w:bCs/>
          <w:sz w:val="22"/>
          <w:szCs w:val="22"/>
        </w:rPr>
        <w:t>et de l’Emploi et le Ministère des Transports.</w:t>
      </w:r>
    </w:p>
    <w:p w:rsidR="00027B90" w:rsidRDefault="00027B90" w:rsidP="00027B90">
      <w:pPr>
        <w:pStyle w:val="En-tte"/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:rsidR="00027B90" w:rsidRDefault="00027B90" w:rsidP="00027B90">
      <w:pPr>
        <w:pStyle w:val="En-tte"/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Cs/>
          <w:sz w:val="22"/>
          <w:szCs w:val="22"/>
        </w:rPr>
        <w:t xml:space="preserve">Le projet de loi réorganise également la surveillance du marché </w:t>
      </w:r>
      <w:r w:rsidRPr="00E74751">
        <w:rPr>
          <w:rFonts w:ascii="Arial" w:hAnsi="Arial" w:cs="Arial"/>
          <w:bCs/>
          <w:sz w:val="22"/>
          <w:szCs w:val="22"/>
          <w:shd w:val="clear" w:color="auto" w:fill="FFFFFF"/>
        </w:rPr>
        <w:t>au sens de la législation luxembourgeoise transposant les directives communautaires élaborées selon la technique législative dite « de la nouvelle approche »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en attribuant à l’Institut un rôle de coordination au niveau national et en </w:t>
      </w:r>
      <w:r>
        <w:rPr>
          <w:rFonts w:ascii="Arial" w:hAnsi="Arial" w:cs="Arial"/>
          <w:sz w:val="22"/>
          <w:szCs w:val="22"/>
          <w:lang w:val="fr-CH"/>
        </w:rPr>
        <w:t>créant</w:t>
      </w:r>
      <w:r w:rsidRPr="00BD4285">
        <w:rPr>
          <w:rFonts w:ascii="Arial" w:hAnsi="Arial" w:cs="Arial"/>
          <w:sz w:val="22"/>
          <w:szCs w:val="22"/>
          <w:lang w:val="fr-CH"/>
        </w:rPr>
        <w:t xml:space="preserve"> un cadre général de la surveillance du marché des produits commercialisés au </w:t>
      </w:r>
      <w:r>
        <w:rPr>
          <w:rFonts w:ascii="Arial" w:hAnsi="Arial" w:cs="Arial"/>
          <w:sz w:val="22"/>
          <w:szCs w:val="22"/>
          <w:lang w:val="fr-CH"/>
        </w:rPr>
        <w:t>Luxembourg.</w:t>
      </w:r>
    </w:p>
    <w:p w:rsidR="00027B90" w:rsidRPr="00BC100E" w:rsidRDefault="00027B90" w:rsidP="00027B90">
      <w:pPr>
        <w:pStyle w:val="En-tte"/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 xml:space="preserve">Dans la même optique l’Institut va coordonner la vérification des bonne pratiques de laboratoire attribués </w:t>
      </w:r>
      <w:r w:rsidRPr="00370807">
        <w:rPr>
          <w:rFonts w:ascii="Arial" w:hAnsi="Arial" w:cs="Arial"/>
          <w:bCs/>
          <w:color w:val="000000"/>
          <w:sz w:val="22"/>
          <w:szCs w:val="22"/>
        </w:rPr>
        <w:t>à l'Administration de l'environnement, au Laboratoire national de santé, à l'Inspection du travail et des mines et à l'Administration des services techniques de l'agriculture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11268" w:rsidRPr="00546ED7" w:rsidRDefault="00027B90" w:rsidP="00546ED7">
      <w:pPr>
        <w:spacing w:after="24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 projet vise également à adapter le droit national au règlement du </w:t>
      </w:r>
      <w:r w:rsidRPr="009400B5">
        <w:rPr>
          <w:rFonts w:ascii="Arial" w:hAnsi="Arial" w:cs="Arial"/>
          <w:sz w:val="22"/>
          <w:szCs w:val="22"/>
          <w:lang w:val="fr-CH"/>
        </w:rPr>
        <w:t>Parlement européen et du Conseil fixant les prescriptions relatives à l’accréditation et à la surveillance du marché dans le contexte de la commercialisation des produits</w:t>
      </w:r>
      <w:r w:rsidR="00546ED7">
        <w:rPr>
          <w:rFonts w:ascii="Arial" w:hAnsi="Arial" w:cs="Arial"/>
          <w:sz w:val="22"/>
          <w:szCs w:val="22"/>
          <w:lang w:val="fr-CH"/>
        </w:rPr>
        <w:t>.</w:t>
      </w:r>
    </w:p>
    <w:sectPr w:rsidR="00A11268" w:rsidRPr="0054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66_"/>
      </v:shape>
    </w:pict>
  </w:numPicBullet>
  <w:abstractNum w:abstractNumId="0" w15:restartNumberingAfterBreak="0">
    <w:nsid w:val="086668D6"/>
    <w:multiLevelType w:val="hybridMultilevel"/>
    <w:tmpl w:val="00A06034"/>
    <w:lvl w:ilvl="0" w:tplc="A93864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F6AA1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027B90"/>
    <w:rsid w:val="00240725"/>
    <w:rsid w:val="00546ED7"/>
    <w:rsid w:val="009400B5"/>
    <w:rsid w:val="00A11268"/>
    <w:rsid w:val="00A81E65"/>
    <w:rsid w:val="00CC0C30"/>
    <w:rsid w:val="00E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B5421CC8-7244-48FC-BD62-F3A8449A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90"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27B90"/>
    <w:pPr>
      <w:tabs>
        <w:tab w:val="center" w:pos="4536"/>
        <w:tab w:val="right" w:pos="9072"/>
      </w:tabs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DP5516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5516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/sftpecos/Dossiers_parlementaires/5516/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BCEEBB2-B52A-4EA9-BAE5-10FE1C88966C}"/>
</file>

<file path=customXml/itemProps2.xml><?xml version="1.0" encoding="utf-8"?>
<ds:datastoreItem xmlns:ds="http://schemas.openxmlformats.org/officeDocument/2006/customXml" ds:itemID="{DCA23754-6926-434A-BDDC-2FE8A5D86205}"/>
</file>

<file path=customXml/itemProps3.xml><?xml version="1.0" encoding="utf-8"?>
<ds:datastoreItem xmlns:ds="http://schemas.openxmlformats.org/officeDocument/2006/customXml" ds:itemID="{B4FC206D-C674-448E-963A-324FBA68E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</vt:lpstr>
    </vt:vector>
  </TitlesOfParts>
  <Company>Chambre des Députés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