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3A7" w:rsidRPr="002763A7" w:rsidRDefault="002763A7" w:rsidP="002763A7">
      <w:pPr>
        <w:pStyle w:val="Textebrut"/>
        <w:jc w:val="center"/>
        <w:rPr>
          <w:rFonts w:ascii="Times New Roman" w:hAnsi="Times New Roman"/>
          <w:b/>
          <w:sz w:val="24"/>
          <w:szCs w:val="24"/>
        </w:rPr>
      </w:pPr>
      <w:bookmarkStart w:id="0" w:name="_GoBack"/>
      <w:bookmarkEnd w:id="0"/>
      <w:r w:rsidRPr="002763A7">
        <w:rPr>
          <w:rFonts w:ascii="Times New Roman" w:hAnsi="Times New Roman"/>
          <w:b/>
          <w:sz w:val="24"/>
          <w:szCs w:val="24"/>
        </w:rPr>
        <w:t>Projet de loi no. 5515</w:t>
      </w:r>
    </w:p>
    <w:p w:rsidR="002763A7" w:rsidRPr="002763A7" w:rsidRDefault="002763A7" w:rsidP="002763A7">
      <w:pPr>
        <w:pStyle w:val="Textebrut"/>
        <w:jc w:val="center"/>
        <w:rPr>
          <w:rFonts w:ascii="Times New Roman" w:hAnsi="Times New Roman"/>
          <w:b/>
          <w:sz w:val="24"/>
          <w:szCs w:val="24"/>
        </w:rPr>
      </w:pPr>
    </w:p>
    <w:p w:rsidR="002763A7" w:rsidRPr="002763A7" w:rsidRDefault="002763A7" w:rsidP="002763A7">
      <w:pPr>
        <w:pStyle w:val="Textebrut"/>
        <w:jc w:val="center"/>
        <w:rPr>
          <w:rFonts w:ascii="Times New Roman" w:hAnsi="Times New Roman"/>
          <w:b/>
          <w:sz w:val="24"/>
          <w:szCs w:val="24"/>
        </w:rPr>
      </w:pPr>
      <w:r w:rsidRPr="002763A7">
        <w:rPr>
          <w:rFonts w:ascii="Times New Roman" w:hAnsi="Times New Roman"/>
          <w:b/>
          <w:sz w:val="24"/>
          <w:szCs w:val="24"/>
        </w:rPr>
        <w:t>Résumé</w:t>
      </w:r>
    </w:p>
    <w:p w:rsidR="002763A7" w:rsidRDefault="002763A7" w:rsidP="00D61298">
      <w:pPr>
        <w:pStyle w:val="Textebrut"/>
        <w:rPr>
          <w:rFonts w:ascii="Times New Roman" w:hAnsi="Times New Roman"/>
          <w:sz w:val="24"/>
          <w:szCs w:val="24"/>
        </w:rPr>
      </w:pPr>
    </w:p>
    <w:p w:rsidR="002763A7" w:rsidRDefault="002763A7" w:rsidP="00D61298">
      <w:pPr>
        <w:pStyle w:val="Textebrut"/>
        <w:rPr>
          <w:rFonts w:ascii="Times New Roman" w:hAnsi="Times New Roman"/>
          <w:sz w:val="24"/>
          <w:szCs w:val="24"/>
        </w:rPr>
      </w:pPr>
    </w:p>
    <w:p w:rsidR="00C44434" w:rsidRPr="00C44434" w:rsidRDefault="00C44434" w:rsidP="00C44434">
      <w:pPr>
        <w:pStyle w:val="Textebrut"/>
        <w:rPr>
          <w:rFonts w:ascii="Times New Roman" w:hAnsi="Times New Roman"/>
          <w:sz w:val="24"/>
          <w:szCs w:val="24"/>
        </w:rPr>
      </w:pPr>
      <w:r w:rsidRPr="00C44434">
        <w:rPr>
          <w:rFonts w:ascii="Times New Roman" w:hAnsi="Times New Roman"/>
          <w:sz w:val="24"/>
          <w:szCs w:val="24"/>
        </w:rPr>
        <w:t xml:space="preserve">Le projet de loi sous rubrique vise la </w:t>
      </w:r>
      <w:r w:rsidRPr="00D55DAC">
        <w:rPr>
          <w:rFonts w:ascii="Times New Roman" w:hAnsi="Times New Roman"/>
          <w:b/>
          <w:sz w:val="24"/>
          <w:szCs w:val="24"/>
        </w:rPr>
        <w:t>ratification par le Luxembourg du Traité d’adhésion de la République de Bulgarie et de la Roumanie à l’Union européenne</w:t>
      </w:r>
      <w:r w:rsidRPr="00C44434">
        <w:rPr>
          <w:rFonts w:ascii="Times New Roman" w:hAnsi="Times New Roman"/>
          <w:sz w:val="24"/>
          <w:szCs w:val="24"/>
        </w:rPr>
        <w:t xml:space="preserve">. Les dispositions du </w:t>
      </w:r>
      <w:r w:rsidRPr="00D55DAC">
        <w:rPr>
          <w:rFonts w:ascii="Times New Roman" w:hAnsi="Times New Roman"/>
          <w:b/>
          <w:sz w:val="24"/>
          <w:szCs w:val="24"/>
        </w:rPr>
        <w:t>Traité d’adhésion</w:t>
      </w:r>
      <w:r w:rsidRPr="00C44434">
        <w:rPr>
          <w:rFonts w:ascii="Times New Roman" w:hAnsi="Times New Roman"/>
          <w:sz w:val="24"/>
          <w:szCs w:val="24"/>
        </w:rPr>
        <w:t xml:space="preserve"> renvoient à un </w:t>
      </w:r>
      <w:r w:rsidRPr="00D55DAC">
        <w:rPr>
          <w:rFonts w:ascii="Times New Roman" w:hAnsi="Times New Roman"/>
          <w:b/>
          <w:sz w:val="24"/>
          <w:szCs w:val="24"/>
        </w:rPr>
        <w:t>Protocole</w:t>
      </w:r>
      <w:r w:rsidRPr="00C44434">
        <w:rPr>
          <w:rFonts w:ascii="Times New Roman" w:hAnsi="Times New Roman"/>
          <w:sz w:val="24"/>
          <w:szCs w:val="24"/>
        </w:rPr>
        <w:t xml:space="preserve">, qui régit les conditions et modalités d’adhésion au cas où la Constitution européenne serait en vigueur à la date de l’adhésion. Le Traité d’adhésion se réfère par ailleurs à un </w:t>
      </w:r>
      <w:r w:rsidRPr="00D55DAC">
        <w:rPr>
          <w:rFonts w:ascii="Times New Roman" w:hAnsi="Times New Roman"/>
          <w:b/>
          <w:sz w:val="24"/>
          <w:szCs w:val="24"/>
        </w:rPr>
        <w:t>Acte d’adhésion</w:t>
      </w:r>
      <w:r w:rsidRPr="00C44434">
        <w:rPr>
          <w:rFonts w:ascii="Times New Roman" w:hAnsi="Times New Roman"/>
          <w:sz w:val="24"/>
          <w:szCs w:val="24"/>
        </w:rPr>
        <w:t xml:space="preserve">, qui régit les conditions d’adhésion et les adaptations à apporter aux différents Traités sur lesquels l’Union est fondée au cas où la Constitution européenne ne serait pas en vigueur lors de l’adhésion des deux pays. Le Traité comprend aussi un </w:t>
      </w:r>
      <w:r w:rsidRPr="00D55DAC">
        <w:rPr>
          <w:rFonts w:ascii="Times New Roman" w:hAnsi="Times New Roman"/>
          <w:b/>
          <w:sz w:val="24"/>
          <w:szCs w:val="24"/>
        </w:rPr>
        <w:t xml:space="preserve">Acte final </w:t>
      </w:r>
      <w:r w:rsidRPr="00C44434">
        <w:rPr>
          <w:rFonts w:ascii="Times New Roman" w:hAnsi="Times New Roman"/>
          <w:sz w:val="24"/>
          <w:szCs w:val="24"/>
        </w:rPr>
        <w:t xml:space="preserve">prenant acte de l’ensemble des textes établis et </w:t>
      </w:r>
    </w:p>
    <w:p w:rsidR="00C44434" w:rsidRPr="00C44434" w:rsidRDefault="00C44434" w:rsidP="00C44434">
      <w:pPr>
        <w:pStyle w:val="Textebrut"/>
        <w:rPr>
          <w:rFonts w:ascii="Times New Roman" w:hAnsi="Times New Roman"/>
          <w:sz w:val="24"/>
          <w:szCs w:val="24"/>
        </w:rPr>
      </w:pPr>
      <w:r w:rsidRPr="00C44434">
        <w:rPr>
          <w:rFonts w:ascii="Times New Roman" w:hAnsi="Times New Roman"/>
          <w:sz w:val="24"/>
          <w:szCs w:val="24"/>
        </w:rPr>
        <w:t xml:space="preserve">adoptés par la Conférence intergouvernementale. </w:t>
      </w:r>
    </w:p>
    <w:p w:rsidR="00C44434" w:rsidRPr="00C44434" w:rsidRDefault="00C44434" w:rsidP="00C44434">
      <w:pPr>
        <w:pStyle w:val="Textebrut"/>
        <w:rPr>
          <w:rFonts w:ascii="Times New Roman" w:hAnsi="Times New Roman"/>
          <w:sz w:val="24"/>
          <w:szCs w:val="24"/>
        </w:rPr>
      </w:pPr>
    </w:p>
    <w:p w:rsidR="00C44434" w:rsidRPr="00C44434" w:rsidRDefault="00C44434" w:rsidP="00C44434">
      <w:pPr>
        <w:pStyle w:val="Textebrut"/>
        <w:rPr>
          <w:rFonts w:ascii="Times New Roman" w:hAnsi="Times New Roman"/>
          <w:sz w:val="24"/>
          <w:szCs w:val="24"/>
        </w:rPr>
      </w:pPr>
      <w:r w:rsidRPr="00D55DAC">
        <w:rPr>
          <w:rFonts w:ascii="Times New Roman" w:hAnsi="Times New Roman"/>
          <w:b/>
          <w:sz w:val="24"/>
          <w:szCs w:val="24"/>
        </w:rPr>
        <w:t>L’adhésion implique l’acceptation intégrale de l’acquis communautaire</w:t>
      </w:r>
      <w:r w:rsidRPr="00C44434">
        <w:rPr>
          <w:rFonts w:ascii="Times New Roman" w:hAnsi="Times New Roman"/>
          <w:sz w:val="24"/>
          <w:szCs w:val="24"/>
        </w:rPr>
        <w:t xml:space="preserve">, tout en accordant aux pays candidats des exceptions sous la forme de </w:t>
      </w:r>
      <w:r w:rsidRPr="00D55DAC">
        <w:rPr>
          <w:rFonts w:ascii="Times New Roman" w:hAnsi="Times New Roman"/>
          <w:b/>
          <w:sz w:val="24"/>
          <w:szCs w:val="24"/>
        </w:rPr>
        <w:t>mesures transitoires</w:t>
      </w:r>
      <w:r w:rsidRPr="00C44434">
        <w:rPr>
          <w:rFonts w:ascii="Times New Roman" w:hAnsi="Times New Roman"/>
          <w:sz w:val="24"/>
          <w:szCs w:val="24"/>
        </w:rPr>
        <w:t xml:space="preserve"> afin qu’ils puissent adapter progressivement leurs politiques internes et leurs infrastructures. Des périodes de transition sont aussi prévues pour les membres actuels. En effet, bien que les dispositions relatives au marché intérieur et aux quatre libertés de circulation (marchandise, personnes, services et capitaux) s’appliquent dès leur adhésion, les Etats membres actuels introduiront des mesures nationales qui réglementent l’accès des ressortissants bulgares et roumains à leur marché du travail, qui seront valables pendant deux années suivant la date d’adhésion. D’autres dispositions transitoires sont prévues dans les domaines de la libre prestation de services et des capitaux, de la politique de concurrence, de l’agriculture, de la politique des transports, de la fiscalité, de la politique sociale et de l’emploi, de l’énergie des </w:t>
      </w:r>
    </w:p>
    <w:p w:rsidR="00C44434" w:rsidRPr="00C44434" w:rsidRDefault="00C44434" w:rsidP="00C44434">
      <w:pPr>
        <w:pStyle w:val="Textebrut"/>
        <w:rPr>
          <w:rFonts w:ascii="Times New Roman" w:hAnsi="Times New Roman"/>
          <w:sz w:val="24"/>
          <w:szCs w:val="24"/>
        </w:rPr>
      </w:pPr>
      <w:r w:rsidRPr="00C44434">
        <w:rPr>
          <w:rFonts w:ascii="Times New Roman" w:hAnsi="Times New Roman"/>
          <w:sz w:val="24"/>
          <w:szCs w:val="24"/>
        </w:rPr>
        <w:t xml:space="preserve">télécommunications et des technologies de l’information, ainsi que de l’environnement. </w:t>
      </w:r>
    </w:p>
    <w:p w:rsidR="00C44434" w:rsidRPr="00C44434" w:rsidRDefault="00C44434" w:rsidP="00C44434">
      <w:pPr>
        <w:pStyle w:val="Textebrut"/>
        <w:rPr>
          <w:rFonts w:ascii="Times New Roman" w:hAnsi="Times New Roman"/>
          <w:sz w:val="24"/>
          <w:szCs w:val="24"/>
        </w:rPr>
      </w:pPr>
    </w:p>
    <w:p w:rsidR="00C44434" w:rsidRPr="00C44434" w:rsidRDefault="00C44434" w:rsidP="00C44434">
      <w:pPr>
        <w:pStyle w:val="Textebrut"/>
        <w:rPr>
          <w:rFonts w:ascii="Times New Roman" w:hAnsi="Times New Roman"/>
          <w:sz w:val="24"/>
          <w:szCs w:val="24"/>
        </w:rPr>
      </w:pPr>
      <w:r w:rsidRPr="00C44434">
        <w:rPr>
          <w:rFonts w:ascii="Times New Roman" w:hAnsi="Times New Roman"/>
          <w:sz w:val="24"/>
          <w:szCs w:val="24"/>
        </w:rPr>
        <w:t xml:space="preserve">De plus, le Traité comprend des </w:t>
      </w:r>
      <w:r w:rsidRPr="00D55DAC">
        <w:rPr>
          <w:rFonts w:ascii="Times New Roman" w:hAnsi="Times New Roman"/>
          <w:b/>
          <w:sz w:val="24"/>
          <w:szCs w:val="24"/>
        </w:rPr>
        <w:t>clauses de sauvegarde</w:t>
      </w:r>
      <w:r w:rsidRPr="00C44434">
        <w:rPr>
          <w:rFonts w:ascii="Times New Roman" w:hAnsi="Times New Roman"/>
          <w:sz w:val="24"/>
          <w:szCs w:val="24"/>
        </w:rPr>
        <w:t xml:space="preserve"> qui peuvent être invoquées par les </w:t>
      </w:r>
    </w:p>
    <w:p w:rsidR="00C44434" w:rsidRPr="00C44434" w:rsidRDefault="00C44434" w:rsidP="00C44434">
      <w:pPr>
        <w:pStyle w:val="Textebrut"/>
        <w:rPr>
          <w:rFonts w:ascii="Times New Roman" w:hAnsi="Times New Roman"/>
          <w:sz w:val="24"/>
          <w:szCs w:val="24"/>
        </w:rPr>
      </w:pPr>
      <w:r w:rsidRPr="00C44434">
        <w:rPr>
          <w:rFonts w:ascii="Times New Roman" w:hAnsi="Times New Roman"/>
          <w:sz w:val="24"/>
          <w:szCs w:val="24"/>
        </w:rPr>
        <w:t xml:space="preserve">deux parties. De cette manière, l’Union peut, d’une part se prémunir de tous risques </w:t>
      </w:r>
    </w:p>
    <w:p w:rsidR="00C44434" w:rsidRPr="00C44434" w:rsidRDefault="00C44434" w:rsidP="00C44434">
      <w:pPr>
        <w:pStyle w:val="Textebrut"/>
        <w:rPr>
          <w:rFonts w:ascii="Times New Roman" w:hAnsi="Times New Roman"/>
          <w:sz w:val="24"/>
          <w:szCs w:val="24"/>
        </w:rPr>
      </w:pPr>
      <w:r w:rsidRPr="00C44434">
        <w:rPr>
          <w:rFonts w:ascii="Times New Roman" w:hAnsi="Times New Roman"/>
          <w:sz w:val="24"/>
          <w:szCs w:val="24"/>
        </w:rPr>
        <w:t xml:space="preserve">d’éventuels manquements aux engagements de reprise de l’acquis communautaire par les </w:t>
      </w:r>
    </w:p>
    <w:p w:rsidR="00C44434" w:rsidRPr="00C44434" w:rsidRDefault="00C44434" w:rsidP="00C44434">
      <w:pPr>
        <w:pStyle w:val="Textebrut"/>
        <w:rPr>
          <w:rFonts w:ascii="Times New Roman" w:hAnsi="Times New Roman"/>
          <w:sz w:val="24"/>
          <w:szCs w:val="24"/>
        </w:rPr>
      </w:pPr>
      <w:r w:rsidRPr="00C44434">
        <w:rPr>
          <w:rFonts w:ascii="Times New Roman" w:hAnsi="Times New Roman"/>
          <w:sz w:val="24"/>
          <w:szCs w:val="24"/>
        </w:rPr>
        <w:t xml:space="preserve">pays entrant. D’autre part, la Bulgarie et la Roumanie peuvent se prémunir en cas de risques </w:t>
      </w:r>
    </w:p>
    <w:p w:rsidR="00C44434" w:rsidRDefault="00C44434" w:rsidP="00C44434">
      <w:pPr>
        <w:pStyle w:val="Textebrut"/>
        <w:rPr>
          <w:rFonts w:ascii="Times New Roman" w:hAnsi="Times New Roman"/>
          <w:sz w:val="24"/>
          <w:szCs w:val="24"/>
        </w:rPr>
      </w:pPr>
      <w:r w:rsidRPr="00C44434">
        <w:rPr>
          <w:rFonts w:ascii="Times New Roman" w:hAnsi="Times New Roman"/>
          <w:sz w:val="24"/>
          <w:szCs w:val="24"/>
        </w:rPr>
        <w:t xml:space="preserve">de déséquilibres graves de leurs économies. Le Traité comprend quatre clauses de sauvegarde. La première concerne les dispositions économiques générales. Elle autorise de prendre des mesures de sauvegarde permettant le rééquilibrage et l’adaptation d’un secteur concerné à l’économie du marché intérieur. La deuxième clause relative au marché intérieur permet de sanctionner le non-respect des engagements pris à l’égard de toutes les politiques sectorielles concernant les activités économiques. La troisième clause de sauvegarde relève de la justice et des affaires intérieures (JAI), un volet qui prévoit la reconnaissance mutuelle en matière de droit pénal et civil. Finalement, une clause de sauvegarde prévoit le report de l’adhésion. Ainsi, au cas où des doutes sérieux sur la capacité de la Bulgarie ou de la Roumanie à remplir les conditions d’adhésion dans n’importe quel domaine subsistent, le Conseil peut décider, à l’unanimité, le report de l’adhésion d’une année. Dans le cas particulier de la Roumanie, la clause de sauvegarde prévoit que pour certains domaines de la justice et des affaires intérieures, le Conseil peut, à la majorité qualifiée, décider du report de l’adhésion. La recommandation de la Commission au Conseil européen quant à l’adhésion de la Roumanie et de la Bulgarie en 2007 ou en 2008 aurait dû être publiée en mai 2006. Mais la Commission a décidé de reporter la publication de la recommandation au mois d’octobre 2006. </w:t>
      </w:r>
    </w:p>
    <w:p w:rsidR="00C44434" w:rsidRPr="00C44434" w:rsidRDefault="00D55DAC" w:rsidP="00C44434">
      <w:pPr>
        <w:pStyle w:val="Textebrut"/>
        <w:rPr>
          <w:rFonts w:ascii="Times New Roman" w:hAnsi="Times New Roman"/>
          <w:sz w:val="24"/>
          <w:szCs w:val="24"/>
        </w:rPr>
      </w:pPr>
      <w:r w:rsidRPr="00C44434">
        <w:rPr>
          <w:rFonts w:ascii="Times New Roman" w:hAnsi="Times New Roman"/>
          <w:sz w:val="24"/>
          <w:szCs w:val="24"/>
        </w:rPr>
        <w:cr/>
      </w:r>
    </w:p>
    <w:p w:rsidR="00D61298" w:rsidRPr="00D55DAC" w:rsidRDefault="00D61298" w:rsidP="00D61298">
      <w:pPr>
        <w:pStyle w:val="Textebrut"/>
        <w:rPr>
          <w:rFonts w:ascii="Times New Roman" w:hAnsi="Times New Roman"/>
          <w:b/>
          <w:sz w:val="24"/>
          <w:szCs w:val="24"/>
        </w:rPr>
      </w:pPr>
      <w:r w:rsidRPr="002763A7">
        <w:rPr>
          <w:rFonts w:ascii="Times New Roman" w:hAnsi="Times New Roman"/>
          <w:sz w:val="24"/>
          <w:szCs w:val="24"/>
        </w:rPr>
        <w:lastRenderedPageBreak/>
        <w:t xml:space="preserve">L’exposé des motifs du projet de loi sous rubrique souligne </w:t>
      </w:r>
      <w:r w:rsidRPr="00D55DAC">
        <w:rPr>
          <w:rFonts w:ascii="Times New Roman" w:hAnsi="Times New Roman"/>
          <w:b/>
          <w:sz w:val="24"/>
          <w:szCs w:val="24"/>
        </w:rPr>
        <w:t xml:space="preserve">l’importance du Luxembourg </w:t>
      </w:r>
    </w:p>
    <w:p w:rsidR="00D61298" w:rsidRPr="002763A7" w:rsidRDefault="00D61298" w:rsidP="002763A7">
      <w:pPr>
        <w:pStyle w:val="Textebrut"/>
        <w:jc w:val="both"/>
        <w:rPr>
          <w:rFonts w:ascii="Times New Roman" w:hAnsi="Times New Roman"/>
          <w:sz w:val="24"/>
          <w:szCs w:val="24"/>
        </w:rPr>
      </w:pPr>
      <w:r w:rsidRPr="00D55DAC">
        <w:rPr>
          <w:rFonts w:ascii="Times New Roman" w:hAnsi="Times New Roman"/>
          <w:b/>
          <w:sz w:val="24"/>
          <w:szCs w:val="24"/>
        </w:rPr>
        <w:t>dans le processus d’adhésion des nouveaux Etats membres en général et de la Bulgarie et de la Roumanie en particulier</w:t>
      </w:r>
      <w:r w:rsidRPr="002763A7">
        <w:rPr>
          <w:rFonts w:ascii="Times New Roman" w:hAnsi="Times New Roman"/>
          <w:sz w:val="24"/>
          <w:szCs w:val="24"/>
        </w:rPr>
        <w:t xml:space="preserve">. Mis à part le fait que le Traité d’adhésion a été signé sous la Présidence luxembourgeoise, c’est aussi le Luxembourg qui s’est engagé, tout au long de la </w:t>
      </w:r>
    </w:p>
    <w:p w:rsidR="00D61298" w:rsidRPr="002763A7" w:rsidRDefault="00D61298" w:rsidP="002763A7">
      <w:pPr>
        <w:pStyle w:val="Textebrut"/>
        <w:jc w:val="both"/>
        <w:rPr>
          <w:rFonts w:ascii="Times New Roman" w:hAnsi="Times New Roman"/>
          <w:sz w:val="24"/>
          <w:szCs w:val="24"/>
        </w:rPr>
      </w:pPr>
      <w:r w:rsidRPr="002763A7">
        <w:rPr>
          <w:rFonts w:ascii="Times New Roman" w:hAnsi="Times New Roman"/>
          <w:sz w:val="24"/>
          <w:szCs w:val="24"/>
        </w:rPr>
        <w:t xml:space="preserve">procédure de négociation, à garantir des perspectives d’intégration réalistes, tout en </w:t>
      </w:r>
    </w:p>
    <w:p w:rsidR="00D61298" w:rsidRPr="002763A7" w:rsidRDefault="00D61298" w:rsidP="002763A7">
      <w:pPr>
        <w:pStyle w:val="Textebrut"/>
        <w:jc w:val="both"/>
        <w:rPr>
          <w:rFonts w:ascii="Times New Roman" w:hAnsi="Times New Roman"/>
          <w:sz w:val="24"/>
          <w:szCs w:val="24"/>
        </w:rPr>
      </w:pPr>
      <w:r w:rsidRPr="002763A7">
        <w:rPr>
          <w:rFonts w:ascii="Times New Roman" w:hAnsi="Times New Roman"/>
          <w:sz w:val="24"/>
          <w:szCs w:val="24"/>
        </w:rPr>
        <w:t xml:space="preserve">plafonnant les fonds mis à disposition par l’Union dans le cadre de l’adhésion des pays </w:t>
      </w:r>
    </w:p>
    <w:p w:rsidR="00D61298" w:rsidRPr="002763A7" w:rsidRDefault="00D61298" w:rsidP="00D61298">
      <w:pPr>
        <w:pStyle w:val="Textebrut"/>
        <w:rPr>
          <w:rFonts w:ascii="Times New Roman" w:hAnsi="Times New Roman"/>
          <w:sz w:val="24"/>
          <w:szCs w:val="24"/>
        </w:rPr>
      </w:pPr>
      <w:r w:rsidRPr="002763A7">
        <w:rPr>
          <w:rFonts w:ascii="Times New Roman" w:hAnsi="Times New Roman"/>
          <w:sz w:val="24"/>
          <w:szCs w:val="24"/>
        </w:rPr>
        <w:t xml:space="preserve">candidats. Ensuite, le Luxembourg a également soigné ses relations bilatérales avec les pays candidats et a financé des projets dans les domaines de l’assistance économique et technique, de la formation ainsi que de l’aide humanitaire en faveur de la Bulgarie et de la Roumanie. </w:t>
      </w:r>
    </w:p>
    <w:p w:rsidR="00D61298" w:rsidRPr="002763A7" w:rsidRDefault="00D61298" w:rsidP="00D61298">
      <w:pPr>
        <w:pStyle w:val="Textebrut"/>
        <w:rPr>
          <w:rFonts w:ascii="Times New Roman" w:hAnsi="Times New Roman"/>
          <w:sz w:val="24"/>
          <w:szCs w:val="24"/>
        </w:rPr>
      </w:pPr>
      <w:r w:rsidRPr="002763A7">
        <w:rPr>
          <w:rFonts w:ascii="Times New Roman" w:hAnsi="Times New Roman"/>
          <w:sz w:val="24"/>
          <w:szCs w:val="24"/>
        </w:rPr>
        <w:t xml:space="preserve">Notons finalement que la ville de Sibiu, située en Transylvanie, a obtenu le statut de ville </w:t>
      </w:r>
    </w:p>
    <w:p w:rsidR="00D61298" w:rsidRPr="002763A7" w:rsidRDefault="00D61298" w:rsidP="00D61298">
      <w:pPr>
        <w:pStyle w:val="Textebrut"/>
        <w:rPr>
          <w:rFonts w:ascii="Times New Roman" w:hAnsi="Times New Roman"/>
          <w:sz w:val="24"/>
          <w:szCs w:val="24"/>
        </w:rPr>
      </w:pPr>
      <w:r w:rsidRPr="002763A7">
        <w:rPr>
          <w:rFonts w:ascii="Times New Roman" w:hAnsi="Times New Roman"/>
          <w:sz w:val="24"/>
          <w:szCs w:val="24"/>
        </w:rPr>
        <w:t xml:space="preserve">européenne de la culture 2007 en partenariat et avec l’appui du Luxembourg. Sibiu a en effet </w:t>
      </w:r>
    </w:p>
    <w:p w:rsidR="00D61298" w:rsidRPr="002763A7" w:rsidRDefault="00D61298" w:rsidP="00D61298">
      <w:pPr>
        <w:pStyle w:val="Textebrut"/>
        <w:rPr>
          <w:rFonts w:ascii="Times New Roman" w:hAnsi="Times New Roman"/>
          <w:sz w:val="24"/>
          <w:szCs w:val="24"/>
        </w:rPr>
      </w:pPr>
      <w:r w:rsidRPr="002763A7">
        <w:rPr>
          <w:rFonts w:ascii="Times New Roman" w:hAnsi="Times New Roman"/>
          <w:sz w:val="24"/>
          <w:szCs w:val="24"/>
        </w:rPr>
        <w:t xml:space="preserve">été fondée au XIIe siècle par les Siebenbürger Sachsen, qui seraient originaires de l’actuel </w:t>
      </w:r>
    </w:p>
    <w:p w:rsidR="00D61298" w:rsidRPr="002763A7" w:rsidRDefault="00D61298" w:rsidP="00D61298">
      <w:pPr>
        <w:pStyle w:val="Textebrut"/>
        <w:rPr>
          <w:rFonts w:ascii="Times New Roman" w:hAnsi="Times New Roman"/>
          <w:sz w:val="24"/>
          <w:szCs w:val="24"/>
        </w:rPr>
      </w:pPr>
      <w:r w:rsidRPr="002763A7">
        <w:rPr>
          <w:rFonts w:ascii="Times New Roman" w:hAnsi="Times New Roman"/>
          <w:sz w:val="24"/>
          <w:szCs w:val="24"/>
        </w:rPr>
        <w:t xml:space="preserve">territoire du Grand-Duché du Luxembourg. Leurs descendants parlent une langue qui se </w:t>
      </w:r>
    </w:p>
    <w:p w:rsidR="00D61298" w:rsidRPr="002763A7" w:rsidRDefault="00D61298" w:rsidP="00D61298">
      <w:pPr>
        <w:pStyle w:val="Textebrut"/>
        <w:rPr>
          <w:rFonts w:ascii="Times New Roman" w:hAnsi="Times New Roman"/>
          <w:sz w:val="24"/>
          <w:szCs w:val="24"/>
        </w:rPr>
      </w:pPr>
      <w:r w:rsidRPr="002763A7">
        <w:rPr>
          <w:rFonts w:ascii="Times New Roman" w:hAnsi="Times New Roman"/>
          <w:sz w:val="24"/>
          <w:szCs w:val="24"/>
        </w:rPr>
        <w:t xml:space="preserve">rapproche du francique mosellan tel qu’il est pratiqué dans la région entre la Moselle et le </w:t>
      </w:r>
    </w:p>
    <w:p w:rsidR="00D61298" w:rsidRPr="002763A7" w:rsidRDefault="00D61298" w:rsidP="00D61298">
      <w:pPr>
        <w:pStyle w:val="Textebrut"/>
        <w:rPr>
          <w:rFonts w:ascii="Times New Roman" w:hAnsi="Times New Roman"/>
          <w:sz w:val="24"/>
          <w:szCs w:val="24"/>
        </w:rPr>
      </w:pPr>
      <w:r w:rsidRPr="002763A7">
        <w:rPr>
          <w:rFonts w:ascii="Times New Roman" w:hAnsi="Times New Roman"/>
          <w:sz w:val="24"/>
          <w:szCs w:val="24"/>
        </w:rPr>
        <w:t xml:space="preserve">Rhin. C’est donc grâce à ces liens culturels et historiques que le Luxembourg entretient des </w:t>
      </w:r>
    </w:p>
    <w:p w:rsidR="00D61298" w:rsidRPr="002763A7" w:rsidRDefault="00D61298" w:rsidP="00D61298">
      <w:pPr>
        <w:pStyle w:val="Textebrut"/>
        <w:rPr>
          <w:rFonts w:ascii="Times New Roman" w:hAnsi="Times New Roman"/>
          <w:sz w:val="24"/>
          <w:szCs w:val="24"/>
        </w:rPr>
      </w:pPr>
      <w:r w:rsidRPr="002763A7">
        <w:rPr>
          <w:rFonts w:ascii="Times New Roman" w:hAnsi="Times New Roman"/>
          <w:sz w:val="24"/>
          <w:szCs w:val="24"/>
        </w:rPr>
        <w:t xml:space="preserve">relations particulières avec la Roumanie en général et avec la ville de Sibiu en particulier. </w:t>
      </w:r>
    </w:p>
    <w:p w:rsidR="00D61298" w:rsidRPr="002763A7" w:rsidRDefault="00D61298" w:rsidP="00D61298">
      <w:pPr>
        <w:pStyle w:val="Textebrut"/>
        <w:rPr>
          <w:rFonts w:ascii="Times New Roman" w:hAnsi="Times New Roman"/>
          <w:sz w:val="24"/>
          <w:szCs w:val="24"/>
        </w:rPr>
      </w:pPr>
      <w:r w:rsidRPr="002763A7">
        <w:rPr>
          <w:rFonts w:ascii="Times New Roman" w:hAnsi="Times New Roman"/>
          <w:sz w:val="24"/>
          <w:szCs w:val="24"/>
        </w:rPr>
        <w:t xml:space="preserve"> </w:t>
      </w:r>
    </w:p>
    <w:p w:rsidR="002763A7" w:rsidRPr="002763A7" w:rsidRDefault="002763A7" w:rsidP="002763A7">
      <w:pPr>
        <w:pStyle w:val="Textebrut"/>
        <w:rPr>
          <w:rFonts w:ascii="Times New Roman" w:hAnsi="Times New Roman"/>
          <w:sz w:val="24"/>
          <w:szCs w:val="24"/>
        </w:rPr>
      </w:pPr>
      <w:r w:rsidRPr="002763A7">
        <w:rPr>
          <w:rFonts w:ascii="Times New Roman" w:hAnsi="Times New Roman"/>
          <w:sz w:val="24"/>
          <w:szCs w:val="24"/>
        </w:rPr>
        <w:t xml:space="preserve">Afin de mieux comprendre les enjeux de ce nouvel élargissement, il est nécessaire de se </w:t>
      </w:r>
    </w:p>
    <w:p w:rsidR="002763A7" w:rsidRPr="002763A7" w:rsidRDefault="002763A7" w:rsidP="002763A7">
      <w:pPr>
        <w:pStyle w:val="Textebrut"/>
        <w:rPr>
          <w:rFonts w:ascii="Times New Roman" w:hAnsi="Times New Roman"/>
          <w:sz w:val="24"/>
          <w:szCs w:val="24"/>
        </w:rPr>
      </w:pPr>
      <w:r w:rsidRPr="002763A7">
        <w:rPr>
          <w:rFonts w:ascii="Times New Roman" w:hAnsi="Times New Roman"/>
          <w:sz w:val="24"/>
          <w:szCs w:val="24"/>
        </w:rPr>
        <w:t xml:space="preserve">pencher sur les </w:t>
      </w:r>
      <w:r w:rsidRPr="00D55DAC">
        <w:rPr>
          <w:rFonts w:ascii="Times New Roman" w:hAnsi="Times New Roman"/>
          <w:b/>
          <w:sz w:val="24"/>
          <w:szCs w:val="24"/>
        </w:rPr>
        <w:t>rapports de monitorage de la Roumanie et de la Bulgarie</w:t>
      </w:r>
      <w:r w:rsidRPr="002763A7">
        <w:rPr>
          <w:rFonts w:ascii="Times New Roman" w:hAnsi="Times New Roman"/>
          <w:sz w:val="24"/>
          <w:szCs w:val="24"/>
        </w:rPr>
        <w:t xml:space="preserve"> rédigés par la </w:t>
      </w:r>
    </w:p>
    <w:p w:rsidR="002763A7" w:rsidRPr="002763A7" w:rsidRDefault="002763A7" w:rsidP="002763A7">
      <w:pPr>
        <w:pStyle w:val="Textebrut"/>
        <w:rPr>
          <w:rFonts w:ascii="Times New Roman" w:hAnsi="Times New Roman"/>
          <w:sz w:val="24"/>
          <w:szCs w:val="24"/>
        </w:rPr>
      </w:pPr>
      <w:r w:rsidRPr="002763A7">
        <w:rPr>
          <w:rFonts w:ascii="Times New Roman" w:hAnsi="Times New Roman"/>
          <w:sz w:val="24"/>
          <w:szCs w:val="24"/>
        </w:rPr>
        <w:t xml:space="preserve">Commission en octobre 2005 et en mai 2006 et d’analyser les progrès accomplis et les </w:t>
      </w:r>
    </w:p>
    <w:p w:rsidR="002763A7" w:rsidRDefault="002763A7" w:rsidP="002763A7">
      <w:pPr>
        <w:pStyle w:val="Textebrut"/>
        <w:rPr>
          <w:rFonts w:ascii="Times New Roman" w:hAnsi="Times New Roman"/>
          <w:sz w:val="24"/>
          <w:szCs w:val="24"/>
        </w:rPr>
      </w:pPr>
      <w:r w:rsidRPr="002763A7">
        <w:rPr>
          <w:rFonts w:ascii="Times New Roman" w:hAnsi="Times New Roman"/>
          <w:sz w:val="24"/>
          <w:szCs w:val="24"/>
        </w:rPr>
        <w:t>lacunes qui restent encore à combler.</w:t>
      </w:r>
    </w:p>
    <w:p w:rsidR="002763A7" w:rsidRPr="002763A7" w:rsidRDefault="00C44434" w:rsidP="002763A7">
      <w:pPr>
        <w:pStyle w:val="Textebrut"/>
        <w:rPr>
          <w:rFonts w:ascii="Times New Roman" w:hAnsi="Times New Roman"/>
          <w:sz w:val="24"/>
          <w:szCs w:val="24"/>
        </w:rPr>
      </w:pPr>
      <w:r w:rsidRPr="002763A7">
        <w:rPr>
          <w:rFonts w:ascii="Times New Roman" w:hAnsi="Times New Roman"/>
          <w:sz w:val="24"/>
          <w:szCs w:val="24"/>
        </w:rPr>
        <w:cr/>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Dans son rapport de 2006</w:t>
      </w:r>
      <w:r w:rsidR="00804506" w:rsidRPr="00804506">
        <w:rPr>
          <w:rFonts w:ascii="Times New Roman" w:hAnsi="Times New Roman"/>
          <w:sz w:val="24"/>
          <w:szCs w:val="24"/>
        </w:rPr>
        <w:t xml:space="preserve"> sur la Roumanie</w:t>
      </w:r>
      <w:r w:rsidRPr="00804506">
        <w:rPr>
          <w:rFonts w:ascii="Times New Roman" w:hAnsi="Times New Roman"/>
          <w:sz w:val="24"/>
          <w:szCs w:val="24"/>
        </w:rPr>
        <w:t xml:space="preserve">, la Commission relève encore un grand nombre de domaines dans lesquels les efforts doivent être intensifiés, mais qui ne suscitent plus de </w:t>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 xml:space="preserve">préoccupations graves. En revanche, elle énumère quatre secteurs gravement préoccupants </w:t>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 xml:space="preserve">qui nécessitent d’engager une action immédiate : </w:t>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 xml:space="preserve">- agrément d’organismes payeurs entièrement opérationnels pour gérer les paiements </w:t>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 xml:space="preserve">directs effectués aux exploitants et aux opérateurs au titre de la politique agricole </w:t>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 xml:space="preserve">commune, mise à profit des progrès réalisés (chapitre 7 de l’acquis) </w:t>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 xml:space="preserve">- établissement d’un système intégré de gestion et de contrôle (SIGC) adéquat dans </w:t>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 xml:space="preserve">l’agriculture, mise à profit des progrès réalisés (chapitre 7 de l’acquis) </w:t>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 xml:space="preserve">- mise en place d’installations d’équarrissage et de traitement conformément à l’acquis </w:t>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 xml:space="preserve">sur l’EST et les sous-produits animaux (chapitre 7 de l’acquis) </w:t>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 xml:space="preserve">- dans l’administration fiscale, systèmes informatiques pouvant fonctionner en </w:t>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 xml:space="preserve">interopérabilité avec ceux du reste de l’Union pour permettre une perception correcte </w:t>
      </w:r>
    </w:p>
    <w:p w:rsidR="008219C3" w:rsidRPr="00804506" w:rsidRDefault="008219C3" w:rsidP="008219C3">
      <w:pPr>
        <w:pStyle w:val="Textebrut"/>
        <w:rPr>
          <w:rFonts w:ascii="Times New Roman" w:hAnsi="Times New Roman"/>
          <w:sz w:val="24"/>
          <w:szCs w:val="24"/>
        </w:rPr>
      </w:pPr>
      <w:r w:rsidRPr="00804506">
        <w:rPr>
          <w:rFonts w:ascii="Times New Roman" w:hAnsi="Times New Roman"/>
          <w:sz w:val="24"/>
          <w:szCs w:val="24"/>
        </w:rPr>
        <w:t xml:space="preserve">de la TVA dans le marché intérieur de l’UE (chapitre 10 de l’acquis) </w:t>
      </w:r>
    </w:p>
    <w:p w:rsidR="008219C3" w:rsidRDefault="008219C3" w:rsidP="008219C3">
      <w:pPr>
        <w:pStyle w:val="Textebrut"/>
      </w:pPr>
    </w:p>
    <w:p w:rsidR="00C44434" w:rsidRPr="008D0A3F" w:rsidRDefault="00C44434" w:rsidP="00C44434">
      <w:pPr>
        <w:pStyle w:val="Textebrut"/>
        <w:rPr>
          <w:rFonts w:ascii="Times New Roman" w:hAnsi="Times New Roman"/>
          <w:sz w:val="24"/>
          <w:szCs w:val="24"/>
        </w:rPr>
      </w:pPr>
      <w:r w:rsidRPr="008D0A3F">
        <w:rPr>
          <w:rFonts w:ascii="Times New Roman" w:hAnsi="Times New Roman"/>
          <w:sz w:val="24"/>
          <w:szCs w:val="24"/>
        </w:rPr>
        <w:t xml:space="preserve">Le rapport de 2006 </w:t>
      </w:r>
      <w:r w:rsidR="008D0A3F" w:rsidRPr="008D0A3F">
        <w:rPr>
          <w:rFonts w:ascii="Times New Roman" w:hAnsi="Times New Roman"/>
          <w:sz w:val="24"/>
          <w:szCs w:val="24"/>
        </w:rPr>
        <w:t xml:space="preserve">sur la Bulgarie </w:t>
      </w:r>
      <w:r w:rsidRPr="008D0A3F">
        <w:rPr>
          <w:rFonts w:ascii="Times New Roman" w:hAnsi="Times New Roman"/>
          <w:sz w:val="24"/>
          <w:szCs w:val="24"/>
        </w:rPr>
        <w:t xml:space="preserve">énumère les progrès accomplis depuis 2005 et cite un grand nombre de domaines dans lesquels la Bulgarie doit maintenir le rythme actuel de ses avancées. De plus, le rapport retient six secteurs gravement préoccupants qui nécessitent d’engager une action immédiate : </w:t>
      </w:r>
    </w:p>
    <w:p w:rsidR="00C44434" w:rsidRPr="008D0A3F" w:rsidRDefault="00C44434" w:rsidP="00C44434">
      <w:pPr>
        <w:pStyle w:val="Textebrut"/>
        <w:rPr>
          <w:rFonts w:ascii="Times New Roman" w:hAnsi="Times New Roman"/>
          <w:sz w:val="24"/>
          <w:szCs w:val="24"/>
        </w:rPr>
      </w:pPr>
      <w:r w:rsidRPr="008D0A3F">
        <w:rPr>
          <w:rFonts w:ascii="Times New Roman" w:hAnsi="Times New Roman"/>
          <w:sz w:val="24"/>
          <w:szCs w:val="24"/>
        </w:rPr>
        <w:t xml:space="preserve">- établissement d’un système intégré de gestion et de contrôle (SIGC) adéquat dans </w:t>
      </w:r>
    </w:p>
    <w:p w:rsidR="00C44434" w:rsidRPr="008D0A3F" w:rsidRDefault="00C44434" w:rsidP="00C44434">
      <w:pPr>
        <w:pStyle w:val="Textebrut"/>
        <w:rPr>
          <w:rFonts w:ascii="Times New Roman" w:hAnsi="Times New Roman"/>
          <w:sz w:val="24"/>
          <w:szCs w:val="24"/>
        </w:rPr>
      </w:pPr>
      <w:r w:rsidRPr="008D0A3F">
        <w:rPr>
          <w:rFonts w:ascii="Times New Roman" w:hAnsi="Times New Roman"/>
          <w:sz w:val="24"/>
          <w:szCs w:val="24"/>
        </w:rPr>
        <w:t xml:space="preserve">l’agriculture (chapitre 7 de l’acquis) </w:t>
      </w:r>
    </w:p>
    <w:p w:rsidR="00C44434" w:rsidRPr="008D0A3F" w:rsidRDefault="00C44434" w:rsidP="00C44434">
      <w:pPr>
        <w:pStyle w:val="Textebrut"/>
        <w:rPr>
          <w:rFonts w:ascii="Times New Roman" w:hAnsi="Times New Roman"/>
          <w:sz w:val="24"/>
          <w:szCs w:val="24"/>
        </w:rPr>
      </w:pPr>
      <w:r w:rsidRPr="008D0A3F">
        <w:rPr>
          <w:rFonts w:ascii="Times New Roman" w:hAnsi="Times New Roman"/>
          <w:sz w:val="24"/>
          <w:szCs w:val="24"/>
        </w:rPr>
        <w:t xml:space="preserve">- mise en place d’installations d’équarrissage et de traitement conformément à l’acquis </w:t>
      </w:r>
    </w:p>
    <w:p w:rsidR="00C44434" w:rsidRPr="008D0A3F" w:rsidRDefault="00C44434" w:rsidP="00C44434">
      <w:pPr>
        <w:pStyle w:val="Textebrut"/>
        <w:rPr>
          <w:rFonts w:ascii="Times New Roman" w:hAnsi="Times New Roman"/>
          <w:sz w:val="24"/>
          <w:szCs w:val="24"/>
        </w:rPr>
      </w:pPr>
      <w:r w:rsidRPr="008D0A3F">
        <w:rPr>
          <w:rFonts w:ascii="Times New Roman" w:hAnsi="Times New Roman"/>
          <w:sz w:val="24"/>
          <w:szCs w:val="24"/>
        </w:rPr>
        <w:t xml:space="preserve">sur l’EST et les sous-produits animaux (chapitre 7 de l’acquis) </w:t>
      </w:r>
    </w:p>
    <w:p w:rsidR="00C44434" w:rsidRPr="008D0A3F" w:rsidRDefault="00C44434" w:rsidP="00C44434">
      <w:pPr>
        <w:pStyle w:val="Textebrut"/>
        <w:rPr>
          <w:rFonts w:ascii="Times New Roman" w:hAnsi="Times New Roman"/>
          <w:sz w:val="24"/>
          <w:szCs w:val="24"/>
        </w:rPr>
      </w:pPr>
      <w:r w:rsidRPr="008D0A3F">
        <w:rPr>
          <w:rFonts w:ascii="Times New Roman" w:hAnsi="Times New Roman"/>
          <w:sz w:val="24"/>
          <w:szCs w:val="24"/>
        </w:rPr>
        <w:t xml:space="preserve">- preuves plus concrètes de résultats en matière d’investigation et de poursuite des </w:t>
      </w:r>
    </w:p>
    <w:p w:rsidR="00C44434" w:rsidRPr="008D0A3F" w:rsidRDefault="00C44434" w:rsidP="00C44434">
      <w:pPr>
        <w:pStyle w:val="Textebrut"/>
        <w:rPr>
          <w:rFonts w:ascii="Times New Roman" w:hAnsi="Times New Roman"/>
          <w:sz w:val="24"/>
          <w:szCs w:val="24"/>
        </w:rPr>
      </w:pPr>
      <w:r w:rsidRPr="008D0A3F">
        <w:rPr>
          <w:rFonts w:ascii="Times New Roman" w:hAnsi="Times New Roman"/>
          <w:sz w:val="24"/>
          <w:szCs w:val="24"/>
        </w:rPr>
        <w:t xml:space="preserve">réseaux de criminalité organisée (chapitre 24 de l’acquis) </w:t>
      </w:r>
    </w:p>
    <w:p w:rsidR="00C44434" w:rsidRPr="008D0A3F" w:rsidRDefault="00C44434" w:rsidP="00C44434">
      <w:pPr>
        <w:pStyle w:val="Textebrut"/>
        <w:rPr>
          <w:rFonts w:ascii="Times New Roman" w:hAnsi="Times New Roman"/>
          <w:sz w:val="24"/>
          <w:szCs w:val="24"/>
        </w:rPr>
      </w:pPr>
      <w:r w:rsidRPr="008D0A3F">
        <w:rPr>
          <w:rFonts w:ascii="Times New Roman" w:hAnsi="Times New Roman"/>
          <w:sz w:val="24"/>
          <w:szCs w:val="24"/>
        </w:rPr>
        <w:t xml:space="preserve">- mise en oeuvre plus efficace et plus rationnelle d’une législation contre la fraude et la </w:t>
      </w:r>
    </w:p>
    <w:p w:rsidR="00C44434" w:rsidRPr="008D0A3F" w:rsidRDefault="00C44434" w:rsidP="00C44434">
      <w:pPr>
        <w:pStyle w:val="Textebrut"/>
        <w:rPr>
          <w:rFonts w:ascii="Times New Roman" w:hAnsi="Times New Roman"/>
          <w:sz w:val="24"/>
          <w:szCs w:val="24"/>
        </w:rPr>
      </w:pPr>
      <w:r w:rsidRPr="008D0A3F">
        <w:rPr>
          <w:rFonts w:ascii="Times New Roman" w:hAnsi="Times New Roman"/>
          <w:sz w:val="24"/>
          <w:szCs w:val="24"/>
        </w:rPr>
        <w:t xml:space="preserve">corruption (chapitre 24 de l’acquis) </w:t>
      </w:r>
    </w:p>
    <w:p w:rsidR="00C44434" w:rsidRPr="008D0A3F" w:rsidRDefault="00C44434" w:rsidP="00C44434">
      <w:pPr>
        <w:pStyle w:val="Textebrut"/>
        <w:rPr>
          <w:rFonts w:ascii="Times New Roman" w:hAnsi="Times New Roman"/>
          <w:sz w:val="24"/>
          <w:szCs w:val="24"/>
        </w:rPr>
      </w:pPr>
      <w:r w:rsidRPr="008D0A3F">
        <w:rPr>
          <w:rFonts w:ascii="Times New Roman" w:hAnsi="Times New Roman"/>
          <w:sz w:val="24"/>
          <w:szCs w:val="24"/>
        </w:rPr>
        <w:t xml:space="preserve">- renforcement de l’application des dispositions contre le blanchiment de capitaux </w:t>
      </w:r>
    </w:p>
    <w:p w:rsidR="00C44434" w:rsidRPr="008D0A3F" w:rsidRDefault="00C44434" w:rsidP="00C44434">
      <w:pPr>
        <w:pStyle w:val="Textebrut"/>
        <w:rPr>
          <w:rFonts w:ascii="Times New Roman" w:hAnsi="Times New Roman"/>
          <w:sz w:val="24"/>
          <w:szCs w:val="24"/>
        </w:rPr>
      </w:pPr>
      <w:r w:rsidRPr="008D0A3F">
        <w:rPr>
          <w:rFonts w:ascii="Times New Roman" w:hAnsi="Times New Roman"/>
          <w:sz w:val="24"/>
          <w:szCs w:val="24"/>
        </w:rPr>
        <w:t xml:space="preserve">(chapitre 24 de l’acquis) </w:t>
      </w:r>
    </w:p>
    <w:p w:rsidR="00C44434" w:rsidRPr="008D0A3F" w:rsidRDefault="00C44434" w:rsidP="00C44434">
      <w:pPr>
        <w:pStyle w:val="Textebrut"/>
        <w:rPr>
          <w:rFonts w:ascii="Times New Roman" w:hAnsi="Times New Roman"/>
          <w:sz w:val="24"/>
          <w:szCs w:val="24"/>
        </w:rPr>
      </w:pPr>
      <w:r w:rsidRPr="008D0A3F">
        <w:rPr>
          <w:rFonts w:ascii="Times New Roman" w:hAnsi="Times New Roman"/>
          <w:sz w:val="24"/>
          <w:szCs w:val="24"/>
        </w:rPr>
        <w:t xml:space="preserve">- consolidation du contrôle financier en vue de l’utilisation future des fonds structurels </w:t>
      </w:r>
    </w:p>
    <w:p w:rsidR="00804506" w:rsidRDefault="00C44434" w:rsidP="00C44434">
      <w:pPr>
        <w:pStyle w:val="Textebrut"/>
      </w:pPr>
      <w:r w:rsidRPr="008D0A3F">
        <w:rPr>
          <w:rFonts w:ascii="Times New Roman" w:hAnsi="Times New Roman"/>
          <w:sz w:val="24"/>
          <w:szCs w:val="24"/>
        </w:rPr>
        <w:t xml:space="preserve">et de cohésion (chapitre 28 de l’acquis) </w:t>
      </w:r>
    </w:p>
    <w:p w:rsidR="00C44434" w:rsidRDefault="00C44434" w:rsidP="00C44434">
      <w:pPr>
        <w:pStyle w:val="Textebrut"/>
      </w:pPr>
    </w:p>
    <w:p w:rsidR="00E82830" w:rsidRPr="002763A7" w:rsidRDefault="00E82830"/>
    <w:sectPr w:rsidR="00E82830" w:rsidRPr="002763A7">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214D">
      <w:r>
        <w:separator/>
      </w:r>
    </w:p>
  </w:endnote>
  <w:endnote w:type="continuationSeparator" w:id="0">
    <w:p w:rsidR="00000000" w:rsidRDefault="00C1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3F" w:rsidRDefault="008D0A3F" w:rsidP="00D55D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D0A3F" w:rsidRDefault="008D0A3F" w:rsidP="008D0A3F">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3F" w:rsidRDefault="008D0A3F" w:rsidP="00D55D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1214D">
      <w:rPr>
        <w:rStyle w:val="Numrodepage"/>
        <w:noProof/>
      </w:rPr>
      <w:t>1</w:t>
    </w:r>
    <w:r>
      <w:rPr>
        <w:rStyle w:val="Numrodepage"/>
      </w:rPr>
      <w:fldChar w:fldCharType="end"/>
    </w:r>
  </w:p>
  <w:p w:rsidR="008D0A3F" w:rsidRDefault="008D0A3F" w:rsidP="008D0A3F">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1214D">
      <w:r>
        <w:separator/>
      </w:r>
    </w:p>
  </w:footnote>
  <w:footnote w:type="continuationSeparator" w:id="0">
    <w:p w:rsidR="00000000" w:rsidRDefault="00C1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C28"/>
    <w:rsid w:val="00074C28"/>
    <w:rsid w:val="002763A7"/>
    <w:rsid w:val="007370F6"/>
    <w:rsid w:val="00804506"/>
    <w:rsid w:val="008219C3"/>
    <w:rsid w:val="008D0A3F"/>
    <w:rsid w:val="00AE602B"/>
    <w:rsid w:val="00C1214D"/>
    <w:rsid w:val="00C44434"/>
    <w:rsid w:val="00D55DAC"/>
    <w:rsid w:val="00D61298"/>
    <w:rsid w:val="00E8283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694F838-7B65-4702-BF68-7FDA481A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rsid w:val="00D61298"/>
    <w:rPr>
      <w:rFonts w:ascii="Courier New" w:hAnsi="Courier New" w:cs="Courier New"/>
      <w:sz w:val="20"/>
      <w:szCs w:val="20"/>
    </w:rPr>
  </w:style>
  <w:style w:type="paragraph" w:styleId="Pieddepage">
    <w:name w:val="footer"/>
    <w:basedOn w:val="Normal"/>
    <w:rsid w:val="008D0A3F"/>
    <w:pPr>
      <w:tabs>
        <w:tab w:val="center" w:pos="4536"/>
        <w:tab w:val="right" w:pos="9072"/>
      </w:tabs>
    </w:pPr>
  </w:style>
  <w:style w:type="character" w:styleId="Numrodepage">
    <w:name w:val="page number"/>
    <w:basedOn w:val="Policepardfaut"/>
    <w:rsid w:val="008D0A3F"/>
  </w:style>
  <w:style w:type="paragraph" w:styleId="Textedebulles">
    <w:name w:val="Balloon Text"/>
    <w:basedOn w:val="Normal"/>
    <w:semiHidden/>
    <w:rsid w:val="00D55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625FFA7-D5DB-4904-A252-E9C7B9CAC363}"/>
</file>

<file path=customXml/itemProps2.xml><?xml version="1.0" encoding="utf-8"?>
<ds:datastoreItem xmlns:ds="http://schemas.openxmlformats.org/officeDocument/2006/customXml" ds:itemID="{7534AD61-95AA-41CD-9A8E-2359F71584DF}"/>
</file>

<file path=customXml/itemProps3.xml><?xml version="1.0" encoding="utf-8"?>
<ds:datastoreItem xmlns:ds="http://schemas.openxmlformats.org/officeDocument/2006/customXml" ds:itemID="{7F4DA2B4-4250-4936-8FB0-A5A6B8EEAFAF}"/>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6529</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L’exposé des motifs du projet de loi sous rubrique souligne l’importance du Luxembourg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Chambre des Députés</dc:creator>
  <cp:keywords/>
  <dc:description/>
  <cp:lastModifiedBy>SYSTEM</cp:lastModifiedBy>
  <cp:revision>2</cp:revision>
  <cp:lastPrinted>2006-06-26T12:21:00Z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