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83" w:rsidRPr="00B00864" w:rsidRDefault="00B4506B" w:rsidP="00247B35">
      <w:pPr>
        <w:pStyle w:val="Corpsdetexte3"/>
        <w:pBdr>
          <w:top w:val="none" w:sz="0" w:space="0" w:color="auto"/>
          <w:left w:val="none" w:sz="0" w:space="0" w:color="auto"/>
          <w:bottom w:val="none" w:sz="0" w:space="0" w:color="auto"/>
          <w:right w:val="none" w:sz="0" w:space="0" w:color="auto"/>
        </w:pBdr>
        <w:ind w:right="-1892"/>
        <w:rPr>
          <w:rFonts w:ascii="Arial" w:hAnsi="Arial" w:cs="Arial"/>
          <w:szCs w:val="24"/>
          <w:u w:val="single"/>
        </w:rPr>
      </w:pPr>
      <w:bookmarkStart w:id="0" w:name="_GoBack"/>
      <w:bookmarkEnd w:id="0"/>
      <w:r w:rsidRPr="00B00864">
        <w:rPr>
          <w:rFonts w:ascii="Arial" w:hAnsi="Arial" w:cs="Arial"/>
          <w:szCs w:val="24"/>
          <w:u w:val="single"/>
        </w:rPr>
        <w:t xml:space="preserve">5507 : </w:t>
      </w:r>
      <w:r w:rsidR="000152E5" w:rsidRPr="00B00864">
        <w:rPr>
          <w:rFonts w:ascii="Arial" w:hAnsi="Arial" w:cs="Arial"/>
          <w:szCs w:val="24"/>
          <w:u w:val="single"/>
        </w:rPr>
        <w:t>Résum</w:t>
      </w:r>
      <w:r w:rsidR="00B00864" w:rsidRPr="00B00864">
        <w:rPr>
          <w:rFonts w:ascii="Arial" w:hAnsi="Arial" w:cs="Arial"/>
          <w:szCs w:val="24"/>
          <w:u w:val="single"/>
        </w:rPr>
        <w:t>é</w:t>
      </w:r>
    </w:p>
    <w:p w:rsidR="002A3683" w:rsidRPr="00B4506B" w:rsidRDefault="002A3683" w:rsidP="00B4506B">
      <w:pPr>
        <w:ind w:right="-809"/>
        <w:jc w:val="both"/>
        <w:rPr>
          <w:rFonts w:ascii="Arial" w:hAnsi="Arial" w:cs="Arial"/>
          <w:sz w:val="24"/>
          <w:szCs w:val="24"/>
        </w:rPr>
      </w:pPr>
    </w:p>
    <w:p w:rsidR="00B00864" w:rsidRDefault="00B00864" w:rsidP="00B00864">
      <w:pPr>
        <w:autoSpaceDE w:val="0"/>
        <w:autoSpaceDN w:val="0"/>
        <w:adjustRightInd w:val="0"/>
        <w:jc w:val="both"/>
        <w:rPr>
          <w:rFonts w:ascii="Arial" w:hAnsi="Arial" w:cs="Arial"/>
          <w:sz w:val="24"/>
          <w:szCs w:val="24"/>
        </w:rPr>
      </w:pPr>
      <w:r w:rsidRPr="00EA3091">
        <w:rPr>
          <w:rFonts w:ascii="Arial" w:hAnsi="Arial" w:cs="Arial"/>
          <w:sz w:val="24"/>
          <w:szCs w:val="24"/>
        </w:rPr>
        <w:t xml:space="preserve">Le projet de loi </w:t>
      </w:r>
      <w:r>
        <w:rPr>
          <w:rFonts w:ascii="Arial" w:hAnsi="Arial" w:cs="Arial"/>
          <w:sz w:val="24"/>
          <w:szCs w:val="24"/>
        </w:rPr>
        <w:t>5507</w:t>
      </w:r>
      <w:r w:rsidRPr="00EA3091">
        <w:rPr>
          <w:rFonts w:ascii="Arial" w:hAnsi="Arial" w:cs="Arial"/>
          <w:sz w:val="24"/>
          <w:szCs w:val="24"/>
        </w:rPr>
        <w:t xml:space="preserve"> a pour objet d’autoriser le Gouvernement à participer au financement des travaux </w:t>
      </w:r>
      <w:r>
        <w:rPr>
          <w:rFonts w:ascii="Arial" w:hAnsi="Arial" w:cs="Arial"/>
          <w:sz w:val="24"/>
          <w:szCs w:val="24"/>
        </w:rPr>
        <w:t>d</w:t>
      </w:r>
      <w:r w:rsidRPr="00EA3091">
        <w:rPr>
          <w:rFonts w:ascii="Arial" w:hAnsi="Arial" w:cs="Arial"/>
          <w:sz w:val="24"/>
          <w:szCs w:val="24"/>
        </w:rPr>
        <w:t xml:space="preserve">’agrandissement et </w:t>
      </w:r>
      <w:r>
        <w:rPr>
          <w:rFonts w:ascii="Arial" w:hAnsi="Arial" w:cs="Arial"/>
          <w:sz w:val="24"/>
          <w:szCs w:val="24"/>
        </w:rPr>
        <w:t>d</w:t>
      </w:r>
      <w:r w:rsidRPr="00EA3091">
        <w:rPr>
          <w:rFonts w:ascii="Arial" w:hAnsi="Arial" w:cs="Arial"/>
          <w:sz w:val="24"/>
          <w:szCs w:val="24"/>
        </w:rPr>
        <w:t xml:space="preserve">’assainissement de la décharge pour déchets ménagers et assimilés au </w:t>
      </w:r>
      <w:proofErr w:type="spellStart"/>
      <w:r w:rsidRPr="00EA3091">
        <w:rPr>
          <w:rFonts w:ascii="Arial" w:hAnsi="Arial" w:cs="Arial"/>
          <w:sz w:val="24"/>
          <w:szCs w:val="24"/>
        </w:rPr>
        <w:t>Friedhaff</w:t>
      </w:r>
      <w:proofErr w:type="spellEnd"/>
      <w:r w:rsidRPr="00EA3091">
        <w:rPr>
          <w:rFonts w:ascii="Arial" w:hAnsi="Arial" w:cs="Arial"/>
          <w:sz w:val="24"/>
          <w:szCs w:val="24"/>
        </w:rPr>
        <w:t xml:space="preserve">/Diekirch et </w:t>
      </w:r>
      <w:r>
        <w:rPr>
          <w:rFonts w:ascii="Arial" w:hAnsi="Arial" w:cs="Arial"/>
          <w:sz w:val="24"/>
          <w:szCs w:val="24"/>
        </w:rPr>
        <w:t>de</w:t>
      </w:r>
      <w:r w:rsidRPr="00EA3091">
        <w:rPr>
          <w:rFonts w:ascii="Arial" w:hAnsi="Arial" w:cs="Arial"/>
          <w:sz w:val="24"/>
          <w:szCs w:val="24"/>
        </w:rPr>
        <w:t xml:space="preserve"> construction d’une installation de prétraitement mécanique et biologique par le syndicat intercommunal pour la gestion des déchets en provenance des ménages et des déchets assimilables des communes de la région de Diekirch, Ettelbruck et Colmar-Berg (SIDEC).</w:t>
      </w:r>
    </w:p>
    <w:p w:rsidR="00B00864" w:rsidRPr="00EA3091" w:rsidRDefault="00B00864" w:rsidP="00B00864">
      <w:pPr>
        <w:autoSpaceDE w:val="0"/>
        <w:autoSpaceDN w:val="0"/>
        <w:adjustRightInd w:val="0"/>
        <w:jc w:val="both"/>
        <w:rPr>
          <w:rFonts w:ascii="Arial" w:hAnsi="Arial" w:cs="Arial"/>
          <w:sz w:val="24"/>
          <w:szCs w:val="24"/>
        </w:rPr>
      </w:pPr>
    </w:p>
    <w:p w:rsidR="00B00864" w:rsidRDefault="00B00864" w:rsidP="00B00864">
      <w:pPr>
        <w:autoSpaceDE w:val="0"/>
        <w:autoSpaceDN w:val="0"/>
        <w:adjustRightInd w:val="0"/>
        <w:jc w:val="both"/>
        <w:rPr>
          <w:rFonts w:ascii="Arial" w:hAnsi="Arial" w:cs="Arial"/>
          <w:sz w:val="24"/>
          <w:szCs w:val="24"/>
        </w:rPr>
      </w:pPr>
      <w:r w:rsidRPr="00EA3091">
        <w:rPr>
          <w:rFonts w:ascii="Arial" w:hAnsi="Arial" w:cs="Arial"/>
          <w:sz w:val="24"/>
          <w:szCs w:val="24"/>
        </w:rPr>
        <w:t xml:space="preserve">Le SIDEC assure la collecte et l’élimination des déchets ménagers et assimilés en provenance de 57 communes. Le site </w:t>
      </w:r>
      <w:proofErr w:type="spellStart"/>
      <w:r w:rsidRPr="00EA3091">
        <w:rPr>
          <w:rFonts w:ascii="Arial" w:hAnsi="Arial" w:cs="Arial"/>
          <w:sz w:val="24"/>
          <w:szCs w:val="24"/>
        </w:rPr>
        <w:t>Friedhaff</w:t>
      </w:r>
      <w:proofErr w:type="spellEnd"/>
      <w:r w:rsidRPr="00EA3091">
        <w:rPr>
          <w:rFonts w:ascii="Arial" w:hAnsi="Arial" w:cs="Arial"/>
          <w:sz w:val="24"/>
          <w:szCs w:val="24"/>
        </w:rPr>
        <w:t>, utilisé comme décharge de</w:t>
      </w:r>
      <w:r>
        <w:rPr>
          <w:rFonts w:ascii="Arial" w:hAnsi="Arial" w:cs="Arial"/>
          <w:sz w:val="24"/>
          <w:szCs w:val="24"/>
        </w:rPr>
        <w:t>puis</w:t>
      </w:r>
      <w:r w:rsidRPr="00EA3091">
        <w:rPr>
          <w:rFonts w:ascii="Arial" w:hAnsi="Arial" w:cs="Arial"/>
          <w:sz w:val="24"/>
          <w:szCs w:val="24"/>
        </w:rPr>
        <w:t xml:space="preserve"> 1945, a connu plusieurs agrandissements pour répondre au volume toujours croissant des déchets à éliminer en provenance des communes membres du syndicat intercommunal.</w:t>
      </w:r>
    </w:p>
    <w:p w:rsidR="00B00864" w:rsidRPr="00EA3091" w:rsidRDefault="00B00864" w:rsidP="00B00864">
      <w:pPr>
        <w:autoSpaceDE w:val="0"/>
        <w:autoSpaceDN w:val="0"/>
        <w:adjustRightInd w:val="0"/>
        <w:jc w:val="both"/>
        <w:rPr>
          <w:rFonts w:ascii="Arial" w:hAnsi="Arial" w:cs="Arial"/>
          <w:sz w:val="24"/>
          <w:szCs w:val="24"/>
        </w:rPr>
      </w:pPr>
    </w:p>
    <w:p w:rsidR="00B00864" w:rsidRDefault="00B00864" w:rsidP="00B00864">
      <w:pPr>
        <w:autoSpaceDE w:val="0"/>
        <w:autoSpaceDN w:val="0"/>
        <w:adjustRightInd w:val="0"/>
        <w:jc w:val="both"/>
        <w:rPr>
          <w:rFonts w:ascii="Arial" w:hAnsi="Arial" w:cs="Arial"/>
          <w:sz w:val="24"/>
          <w:szCs w:val="24"/>
        </w:rPr>
      </w:pPr>
      <w:r w:rsidRPr="00EA3091">
        <w:rPr>
          <w:rFonts w:ascii="Arial" w:hAnsi="Arial" w:cs="Arial"/>
          <w:sz w:val="24"/>
          <w:szCs w:val="24"/>
        </w:rPr>
        <w:t>Les travaux relatifs à la décharge peuvent être divisés en trois phases. Une première phase comprenait l’aménagement d’une nouvelle aire de dépôt avec toutes les infrastructures accessoires y relatives, des bassins de rétention des eaux en provenance de la décharge et le renforcement de la digue en aval de la décharge. Une deuxième phase a été consacrée à la mise en place d’un système d’étanchement intermédiaire de certaines aires avec aménagement d’un drainage de sécurité concernant les eaux de ruissellement et de condensation. Enfin, une troisième phase aura pour objet les travaux de planification et de construction des couches définitives d’étanchement de la décharge avec évacuation des eaux et gaz en provenance de la décharge.</w:t>
      </w:r>
    </w:p>
    <w:p w:rsidR="00B00864" w:rsidRPr="00EA3091" w:rsidRDefault="00B00864" w:rsidP="00B00864">
      <w:pPr>
        <w:autoSpaceDE w:val="0"/>
        <w:autoSpaceDN w:val="0"/>
        <w:adjustRightInd w:val="0"/>
        <w:jc w:val="both"/>
        <w:rPr>
          <w:rFonts w:ascii="Arial" w:hAnsi="Arial" w:cs="Arial"/>
          <w:sz w:val="24"/>
          <w:szCs w:val="24"/>
        </w:rPr>
      </w:pPr>
    </w:p>
    <w:p w:rsidR="00B00864" w:rsidRDefault="00B00864" w:rsidP="00B00864">
      <w:pPr>
        <w:autoSpaceDE w:val="0"/>
        <w:autoSpaceDN w:val="0"/>
        <w:adjustRightInd w:val="0"/>
        <w:jc w:val="both"/>
        <w:rPr>
          <w:rFonts w:ascii="Arial" w:hAnsi="Arial" w:cs="Arial"/>
          <w:sz w:val="24"/>
          <w:szCs w:val="24"/>
        </w:rPr>
      </w:pPr>
      <w:r w:rsidRPr="00EA3091">
        <w:rPr>
          <w:rFonts w:ascii="Arial" w:hAnsi="Arial" w:cs="Arial"/>
          <w:sz w:val="24"/>
          <w:szCs w:val="24"/>
        </w:rPr>
        <w:t>L’autorisation du législateur est nécessaire dans la mesure où l’engagement total de l’Etat dépasse</w:t>
      </w:r>
      <w:r>
        <w:rPr>
          <w:rFonts w:ascii="Arial" w:hAnsi="Arial" w:cs="Arial"/>
          <w:sz w:val="24"/>
          <w:szCs w:val="24"/>
        </w:rPr>
        <w:t xml:space="preserve"> </w:t>
      </w:r>
      <w:r w:rsidRPr="00EA3091">
        <w:rPr>
          <w:rFonts w:ascii="Arial" w:hAnsi="Arial" w:cs="Arial"/>
          <w:sz w:val="24"/>
          <w:szCs w:val="24"/>
        </w:rPr>
        <w:t>le montant prévu à l’article 80, d) de la loi modifiée du 8 juin 1999 sur le budget, la comptabilité et</w:t>
      </w:r>
      <w:r>
        <w:rPr>
          <w:rFonts w:ascii="Arial" w:hAnsi="Arial" w:cs="Arial"/>
          <w:sz w:val="24"/>
          <w:szCs w:val="24"/>
        </w:rPr>
        <w:t xml:space="preserve"> </w:t>
      </w:r>
      <w:r w:rsidRPr="00EA3091">
        <w:rPr>
          <w:rFonts w:ascii="Arial" w:hAnsi="Arial" w:cs="Arial"/>
          <w:sz w:val="24"/>
          <w:szCs w:val="24"/>
        </w:rPr>
        <w:t>la trésorerie de l’Etat, en l’occurrence 7.500.000 euros.</w:t>
      </w:r>
    </w:p>
    <w:p w:rsidR="00AD3BC0" w:rsidRPr="00B4506B" w:rsidRDefault="00AD3BC0" w:rsidP="00B00864">
      <w:pPr>
        <w:ind w:right="-809"/>
        <w:jc w:val="both"/>
      </w:pPr>
    </w:p>
    <w:sectPr w:rsidR="00AD3BC0" w:rsidRPr="00B4506B">
      <w:footerReference w:type="even" r:id="rId7"/>
      <w:footerReference w:type="default" r:id="rId8"/>
      <w:pgSz w:w="12240" w:h="15840"/>
      <w:pgMar w:top="1440" w:right="1892"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3626">
      <w:r>
        <w:separator/>
      </w:r>
    </w:p>
  </w:endnote>
  <w:endnote w:type="continuationSeparator" w:id="0">
    <w:p w:rsidR="00000000" w:rsidRDefault="006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83" w:rsidRDefault="002A3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rsidR="002A3683" w:rsidRDefault="002A368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83" w:rsidRDefault="002A3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00864">
      <w:rPr>
        <w:rStyle w:val="Numrodepage"/>
        <w:noProof/>
      </w:rPr>
      <w:t>8</w:t>
    </w:r>
    <w:r>
      <w:rPr>
        <w:rStyle w:val="Numrodepage"/>
      </w:rPr>
      <w:fldChar w:fldCharType="end"/>
    </w:r>
  </w:p>
  <w:p w:rsidR="002A3683" w:rsidRDefault="002A3683">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3626">
      <w:r>
        <w:separator/>
      </w:r>
    </w:p>
  </w:footnote>
  <w:footnote w:type="continuationSeparator" w:id="0">
    <w:p w:rsidR="00000000" w:rsidRDefault="006F3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E40FE"/>
    <w:multiLevelType w:val="multilevel"/>
    <w:tmpl w:val="DC80B6B4"/>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fr-LU" w:vendorID="9" w:dllVersion="512" w:checkStyle="1"/>
  <w:activeWritingStyle w:appName="MSWord" w:lang="fr-FR" w:vendorID="9" w:dllVersion="512" w:checkStyle="1"/>
  <w:activeWritingStyle w:appName="MSWord" w:lang="en-US" w:vendorID="8" w:dllVersion="513"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67E"/>
    <w:rsid w:val="000152E5"/>
    <w:rsid w:val="000A480A"/>
    <w:rsid w:val="001F1FA1"/>
    <w:rsid w:val="00247B35"/>
    <w:rsid w:val="002A3683"/>
    <w:rsid w:val="003E04A9"/>
    <w:rsid w:val="00436CCA"/>
    <w:rsid w:val="004A07CA"/>
    <w:rsid w:val="004C6A05"/>
    <w:rsid w:val="0059156D"/>
    <w:rsid w:val="006625DB"/>
    <w:rsid w:val="006F3626"/>
    <w:rsid w:val="00A7167E"/>
    <w:rsid w:val="00AA7EE7"/>
    <w:rsid w:val="00AD3BC0"/>
    <w:rsid w:val="00B00864"/>
    <w:rsid w:val="00B4506B"/>
    <w:rsid w:val="00C439AD"/>
    <w:rsid w:val="00CD5C83"/>
    <w:rsid w:val="00CF5672"/>
    <w:rsid w:val="00D3336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A44629-EC25-4117-A74F-E10EEF7D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qFormat/>
    <w:pPr>
      <w:keepNext/>
      <w:numPr>
        <w:numId w:val="1"/>
      </w:numPr>
      <w:outlineLvl w:val="0"/>
    </w:pPr>
    <w:rPr>
      <w:rFonts w:ascii="Arial" w:hAnsi="Arial"/>
      <w:b/>
      <w:kern w:val="28"/>
      <w:sz w:val="28"/>
      <w:u w:val="single"/>
    </w:rPr>
  </w:style>
  <w:style w:type="paragraph" w:styleId="Titre2">
    <w:name w:val="heading 2"/>
    <w:basedOn w:val="Normal"/>
    <w:next w:val="Normal"/>
    <w:qFormat/>
    <w:pPr>
      <w:keepNext/>
      <w:numPr>
        <w:ilvl w:val="1"/>
        <w:numId w:val="1"/>
      </w:numPr>
      <w:spacing w:before="240" w:after="60"/>
      <w:ind w:right="720"/>
      <w:jc w:val="both"/>
      <w:outlineLvl w:val="1"/>
    </w:pPr>
    <w:rPr>
      <w:rFonts w:ascii="Arial" w:hAnsi="Arial"/>
      <w:b/>
      <w:i/>
      <w:sz w:val="24"/>
    </w:rPr>
  </w:style>
  <w:style w:type="paragraph" w:styleId="Titre3">
    <w:name w:val="heading 3"/>
    <w:basedOn w:val="Normal"/>
    <w:next w:val="Normal"/>
    <w:qFormat/>
    <w:pPr>
      <w:keepNext/>
      <w:numPr>
        <w:ilvl w:val="2"/>
        <w:numId w:val="1"/>
      </w:numPr>
      <w:spacing w:before="240" w:after="60"/>
      <w:outlineLvl w:val="2"/>
    </w:pPr>
    <w:rPr>
      <w:rFonts w:ascii="Arial" w:hAnsi="Arial"/>
      <w:b/>
      <w:sz w:val="24"/>
    </w:rPr>
  </w:style>
  <w:style w:type="paragraph" w:styleId="Titre4">
    <w:name w:val="heading 4"/>
    <w:basedOn w:val="Normal"/>
    <w:next w:val="Normal"/>
    <w:qFormat/>
    <w:pPr>
      <w:keepNext/>
      <w:numPr>
        <w:ilvl w:val="3"/>
        <w:numId w:val="1"/>
      </w:numPr>
      <w:spacing w:before="240" w:after="60"/>
      <w:outlineLvl w:val="3"/>
    </w:pPr>
    <w:rPr>
      <w:rFonts w:ascii="Arial" w:hAnsi="Arial"/>
      <w:b/>
      <w:sz w:val="24"/>
    </w:rPr>
  </w:style>
  <w:style w:type="paragraph" w:styleId="Titre5">
    <w:name w:val="heading 5"/>
    <w:basedOn w:val="Normal"/>
    <w:next w:val="Normal"/>
    <w:qFormat/>
    <w:pPr>
      <w:numPr>
        <w:ilvl w:val="4"/>
        <w:numId w:val="1"/>
      </w:numPr>
      <w:spacing w:before="240" w:after="60"/>
      <w:outlineLvl w:val="4"/>
    </w:pPr>
    <w:rPr>
      <w:sz w:val="24"/>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rPr>
      <w:rFonts w:ascii="Arial" w:hAnsi="Arial"/>
    </w:rPr>
  </w:style>
  <w:style w:type="paragraph" w:styleId="Titre8">
    <w:name w:val="heading 8"/>
    <w:basedOn w:val="Normal"/>
    <w:next w:val="Normal"/>
    <w:qFormat/>
    <w:pPr>
      <w:numPr>
        <w:ilvl w:val="7"/>
        <w:numId w:val="1"/>
      </w:numPr>
      <w:spacing w:before="240" w:after="60"/>
      <w:outlineLvl w:val="7"/>
    </w:pPr>
    <w:rPr>
      <w:rFonts w:ascii="Arial" w:hAnsi="Arial"/>
      <w:i/>
    </w:rPr>
  </w:style>
  <w:style w:type="paragraph" w:styleId="Titre9">
    <w:name w:val="heading 9"/>
    <w:basedOn w:val="Normal"/>
    <w:next w:val="Normal"/>
    <w:qFormat/>
    <w:pPr>
      <w:numPr>
        <w:ilvl w:val="8"/>
        <w:numId w:val="1"/>
      </w:numPr>
      <w:spacing w:before="240" w:after="60"/>
      <w:outlineLvl w:val="8"/>
    </w:pPr>
    <w:rPr>
      <w:rFonts w:ascii="Arial" w:hAnsi="Arial"/>
      <w:b/>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customStyle="1" w:styleId="bullit2">
    <w:name w:val="bullit 2"/>
    <w:basedOn w:val="Normal"/>
    <w:pPr>
      <w:tabs>
        <w:tab w:val="left" w:pos="1021"/>
      </w:tabs>
      <w:spacing w:before="60"/>
      <w:ind w:left="1020" w:hanging="340"/>
      <w:jc w:val="both"/>
    </w:pPr>
    <w:rPr>
      <w:rFonts w:ascii="Palatino" w:hAnsi="Palatino"/>
      <w:sz w:val="24"/>
      <w:lang w:val="fr-FR"/>
    </w:rPr>
  </w:style>
  <w:style w:type="paragraph" w:styleId="Corpsdetexte">
    <w:name w:val="Body Text"/>
    <w:basedOn w:val="Normal"/>
    <w:pPr>
      <w:jc w:val="both"/>
    </w:pPr>
    <w:rPr>
      <w:sz w:val="22"/>
      <w:lang w:val="fr-CH"/>
    </w:rPr>
  </w:style>
  <w:style w:type="paragraph" w:styleId="En-tte">
    <w:name w:val="header"/>
    <w:basedOn w:val="Normal"/>
    <w:pPr>
      <w:tabs>
        <w:tab w:val="center" w:pos="4153"/>
        <w:tab w:val="right" w:pos="8306"/>
      </w:tabs>
    </w:pPr>
  </w:style>
  <w:style w:type="paragraph" w:styleId="Normalcentr">
    <w:name w:val="Block Text"/>
    <w:basedOn w:val="Normal"/>
    <w:pPr>
      <w:ind w:left="3686" w:right="3232" w:hanging="5386"/>
      <w:jc w:val="both"/>
    </w:pPr>
    <w:rPr>
      <w:sz w:val="22"/>
      <w:lang w:val="fr-FR"/>
    </w:rPr>
  </w:style>
  <w:style w:type="paragraph" w:customStyle="1" w:styleId="Normal1">
    <w:name w:val="Normal1"/>
    <w:basedOn w:val="Normal"/>
    <w:next w:val="Normal"/>
    <w:pPr>
      <w:spacing w:before="240"/>
      <w:jc w:val="both"/>
    </w:pPr>
    <w:rPr>
      <w:sz w:val="24"/>
      <w:lang w:val="fr-FR"/>
    </w:r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2">
    <w:name w:val="Body Text 2"/>
    <w:basedOn w:val="Normal"/>
    <w:pPr>
      <w:spacing w:before="120" w:after="120"/>
    </w:pPr>
    <w:rPr>
      <w:i/>
      <w:snapToGrid w:val="0"/>
      <w:sz w:val="24"/>
      <w:lang w:val="en-US" w:eastAsia="en-US"/>
    </w:rPr>
  </w:style>
  <w:style w:type="paragraph" w:styleId="Retraitcorpsdetexte">
    <w:name w:val="Body Text Indent"/>
    <w:basedOn w:val="Normal"/>
    <w:pPr>
      <w:spacing w:before="120"/>
      <w:ind w:left="360"/>
      <w:jc w:val="both"/>
    </w:pPr>
    <w:rPr>
      <w:sz w:val="24"/>
    </w:rPr>
  </w:style>
  <w:style w:type="paragraph" w:styleId="Corpsdetexte3">
    <w:name w:val="Body Text 3"/>
    <w:basedOn w:val="Normal"/>
    <w:pPr>
      <w:pBdr>
        <w:top w:val="single" w:sz="4" w:space="31" w:color="auto"/>
        <w:left w:val="single" w:sz="4" w:space="31" w:color="auto"/>
        <w:bottom w:val="single" w:sz="4" w:space="31" w:color="auto"/>
        <w:right w:val="single" w:sz="4" w:space="31" w:color="auto"/>
      </w:pBdr>
      <w:jc w:val="both"/>
    </w:pPr>
    <w:rPr>
      <w:b/>
      <w:spacing w:val="20"/>
      <w:sz w:val="24"/>
    </w:rPr>
  </w:style>
  <w:style w:type="paragraph" w:styleId="Explorateurdedocuments">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FC23AA6-31B2-4267-9ADA-21D6C238ABF0}"/>
</file>

<file path=customXml/itemProps2.xml><?xml version="1.0" encoding="utf-8"?>
<ds:datastoreItem xmlns:ds="http://schemas.openxmlformats.org/officeDocument/2006/customXml" ds:itemID="{8F132153-7325-4FE0-9CC5-7E375679070E}"/>
</file>

<file path=customXml/itemProps3.xml><?xml version="1.0" encoding="utf-8"?>
<ds:datastoreItem xmlns:ds="http://schemas.openxmlformats.org/officeDocument/2006/customXml" ds:itemID="{00D45CCC-1DA1-4A4C-A1DC-192C987FFF1A}"/>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1545</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Projet de loi autorisant l'Etat à participer au financement des travaux d'agrandissement et d'assainissement de la décharge pour déchets ménagers et assimilés au Friedhaff / Diekirch et des installations de prétraitement annexés </vt:lpstr>
    </vt:vector>
  </TitlesOfParts>
  <Company>ADENV</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LM</dc:creator>
  <cp:keywords/>
  <cp:lastModifiedBy>SYSTEM</cp:lastModifiedBy>
  <cp:revision>2</cp:revision>
  <cp:lastPrinted>2006-01-25T08:18:00Z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