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47" w:rsidRPr="00773855" w:rsidRDefault="00F26947" w:rsidP="00773855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773855">
        <w:rPr>
          <w:b/>
        </w:rPr>
        <w:t xml:space="preserve">N° 5488 </w:t>
      </w:r>
      <w:r w:rsidRPr="00773855">
        <w:rPr>
          <w:b/>
          <w:bCs/>
        </w:rPr>
        <w:t xml:space="preserve">Projet de loi portant règlement du compte général de l’exercice 2004 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6947" w:rsidRDefault="00773855" w:rsidP="00F26947">
      <w:pPr>
        <w:autoSpaceDE w:val="0"/>
        <w:autoSpaceDN w:val="0"/>
        <w:adjustRightInd w:val="0"/>
        <w:jc w:val="both"/>
      </w:pPr>
      <w:r>
        <w:t>L</w:t>
      </w:r>
      <w:r w:rsidR="00F26947">
        <w:t xml:space="preserve">e compte général 2004, compte tenu de l’amendement gouvernemental du 27 janvier 2006, se présente comme suit: </w:t>
      </w:r>
    </w:p>
    <w:p w:rsidR="00F26947" w:rsidRDefault="00F26947" w:rsidP="00F26947">
      <w:pPr>
        <w:autoSpaceDE w:val="0"/>
        <w:autoSpaceDN w:val="0"/>
        <w:adjustRightInd w:val="0"/>
        <w:jc w:val="center"/>
      </w:pP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A.– </w:t>
      </w:r>
      <w:r>
        <w:rPr>
          <w:b/>
          <w:bCs/>
          <w:i/>
          <w:iCs/>
        </w:rPr>
        <w:t>Recettes et dépenses courantes et en capital</w:t>
      </w:r>
    </w:p>
    <w:p w:rsidR="00F26947" w:rsidRDefault="00F26947" w:rsidP="00F26947">
      <w:pPr>
        <w:autoSpaceDE w:val="0"/>
        <w:autoSpaceDN w:val="0"/>
        <w:adjustRightInd w:val="0"/>
      </w:pPr>
    </w:p>
    <w:p w:rsidR="00F26947" w:rsidRDefault="00F26947" w:rsidP="00F26947">
      <w:pPr>
        <w:autoSpaceDE w:val="0"/>
        <w:autoSpaceDN w:val="0"/>
        <w:adjustRightInd w:val="0"/>
      </w:pPr>
      <w:r>
        <w:t xml:space="preserve">I. Recettes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6.734.791.772,75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II. Dépenses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6.889.082.228,60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III. Excédent de dépenses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</w:t>
      </w:r>
      <w:r>
        <w:tab/>
      </w:r>
      <w:r>
        <w:tab/>
        <w:t xml:space="preserve">   154.290.455,85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IV. Report du solde des recettes et dépenses courantes et en capital   </w:t>
      </w:r>
      <w:r>
        <w:tab/>
        <w:t xml:space="preserve">   489.904.258,38 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B.– </w:t>
      </w:r>
      <w:r>
        <w:rPr>
          <w:b/>
          <w:bCs/>
          <w:i/>
          <w:iCs/>
        </w:rPr>
        <w:t>Recettes et dépenses pour ordre</w:t>
      </w:r>
    </w:p>
    <w:p w:rsidR="00F26947" w:rsidRDefault="00F26947" w:rsidP="00F26947">
      <w:pPr>
        <w:autoSpaceDE w:val="0"/>
        <w:autoSpaceDN w:val="0"/>
        <w:adjustRightInd w:val="0"/>
      </w:pPr>
    </w:p>
    <w:p w:rsidR="00F26947" w:rsidRDefault="00F26947" w:rsidP="00F26947">
      <w:pPr>
        <w:autoSpaceDE w:val="0"/>
        <w:autoSpaceDN w:val="0"/>
        <w:adjustRightInd w:val="0"/>
      </w:pPr>
      <w:r>
        <w:t xml:space="preserve">I. Recettes pour ordre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3.593.145.466,72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II. Dépenses pour ordre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3.577.169.778,70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III. Excédent de recettes pour ordre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15.975.688,02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IV. Report du solde des recettes et dépenses pour ordre </w:t>
      </w:r>
      <w:r>
        <w:tab/>
        <w:t xml:space="preserve">    </w:t>
      </w:r>
      <w:r>
        <w:tab/>
      </w:r>
      <w:r>
        <w:tab/>
        <w:t xml:space="preserve">      26.463.905,23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color w:val="008000"/>
        </w:rPr>
      </w:pP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C.– </w:t>
      </w:r>
      <w:r>
        <w:rPr>
          <w:b/>
          <w:bCs/>
          <w:i/>
          <w:iCs/>
        </w:rPr>
        <w:t>Recettes et dépenses des fonds déposés à la Trésorerie de l’Etat</w:t>
      </w:r>
    </w:p>
    <w:p w:rsidR="00F26947" w:rsidRDefault="00F26947" w:rsidP="00F26947">
      <w:pPr>
        <w:autoSpaceDE w:val="0"/>
        <w:autoSpaceDN w:val="0"/>
        <w:adjustRightInd w:val="0"/>
      </w:pPr>
    </w:p>
    <w:p w:rsidR="00F26947" w:rsidRDefault="00F26947" w:rsidP="00F26947">
      <w:pPr>
        <w:autoSpaceDE w:val="0"/>
        <w:autoSpaceDN w:val="0"/>
        <w:adjustRightInd w:val="0"/>
      </w:pPr>
      <w:r>
        <w:t xml:space="preserve">I. Recettes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2.156.473.987,62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II. Dépenses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2.314.292.651,51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III. Excédent de dépenses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157.818.663,89</w:t>
      </w:r>
    </w:p>
    <w:p w:rsidR="00F26947" w:rsidRDefault="00F26947" w:rsidP="00F26947">
      <w:pPr>
        <w:autoSpaceDE w:val="0"/>
        <w:autoSpaceDN w:val="0"/>
        <w:adjustRightInd w:val="0"/>
        <w:rPr>
          <w:color w:val="008000"/>
        </w:rPr>
      </w:pPr>
      <w:r>
        <w:t xml:space="preserve">IV. Report du solde des recettes et dépenses </w:t>
      </w:r>
      <w:r>
        <w:tab/>
      </w:r>
      <w:r>
        <w:tab/>
      </w:r>
      <w:r>
        <w:tab/>
      </w:r>
      <w:r>
        <w:tab/>
        <w:t>2.647.154.850,39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color w:val="008000"/>
        </w:rPr>
      </w:pPr>
    </w:p>
    <w:p w:rsidR="00F26947" w:rsidRDefault="00F26947" w:rsidP="00F26947">
      <w:pPr>
        <w:autoSpaceDE w:val="0"/>
        <w:autoSpaceDN w:val="0"/>
        <w:adjustRightInd w:val="0"/>
        <w:jc w:val="both"/>
        <w:rPr>
          <w:color w:val="008000"/>
        </w:rPr>
      </w:pPr>
    </w:p>
    <w:p w:rsidR="00F26947" w:rsidRDefault="00F26947" w:rsidP="00F26947">
      <w:pPr>
        <w:autoSpaceDE w:val="0"/>
        <w:autoSpaceDN w:val="0"/>
        <w:adjustRightInd w:val="0"/>
        <w:jc w:val="both"/>
      </w:pPr>
      <w:r>
        <w:t xml:space="preserve">Par rapport au budget définitif de l'exercice 2004, les </w:t>
      </w:r>
      <w:r>
        <w:rPr>
          <w:b/>
          <w:u w:val="single"/>
        </w:rPr>
        <w:t>variations</w:t>
      </w:r>
      <w:r>
        <w:rPr>
          <w:u w:val="single"/>
        </w:rPr>
        <w:t xml:space="preserve"> </w:t>
      </w:r>
      <w:r>
        <w:t xml:space="preserve">sont les suivantes : </w:t>
      </w:r>
    </w:p>
    <w:p w:rsidR="00F26947" w:rsidRDefault="00F26947" w:rsidP="00F26947">
      <w:pPr>
        <w:autoSpaceDE w:val="0"/>
        <w:autoSpaceDN w:val="0"/>
        <w:adjustRightInd w:val="0"/>
        <w:jc w:val="both"/>
        <w:rPr>
          <w:color w:val="008000"/>
        </w:rPr>
      </w:pPr>
    </w:p>
    <w:p w:rsidR="00F26947" w:rsidRDefault="00F26947" w:rsidP="00F26947">
      <w:pPr>
        <w:autoSpaceDE w:val="0"/>
        <w:autoSpaceDN w:val="0"/>
        <w:adjustRightInd w:val="0"/>
        <w:jc w:val="both"/>
        <w:rPr>
          <w:color w:val="008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1984"/>
        <w:gridCol w:w="1985"/>
        <w:gridCol w:w="1842"/>
        <w:gridCol w:w="1134"/>
        <w:tblGridChange w:id="1">
          <w:tblGrid>
            <w:gridCol w:w="108"/>
            <w:gridCol w:w="2870"/>
            <w:gridCol w:w="108"/>
            <w:gridCol w:w="1876"/>
            <w:gridCol w:w="108"/>
            <w:gridCol w:w="1877"/>
            <w:gridCol w:w="108"/>
            <w:gridCol w:w="2868"/>
            <w:gridCol w:w="108"/>
            <w:gridCol w:w="1134"/>
          </w:tblGrid>
        </w:tblGridChange>
      </w:tblGrid>
      <w:tr w:rsidR="00F26947">
        <w:trPr>
          <w:cantSplit/>
          <w:trHeight w:val="43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947" w:rsidRDefault="00F26947" w:rsidP="00F26947">
            <w:pPr>
              <w:pStyle w:val="BodyTextIndent2"/>
              <w:ind w:left="0" w:firstLine="0"/>
              <w:jc w:val="center"/>
              <w:rPr>
                <w:color w:val="008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Budget définitif 2004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Compte général 2004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Variations</w:t>
            </w:r>
          </w:p>
          <w:p w:rsidR="00F26947" w:rsidRDefault="00F26947" w:rsidP="00F26947">
            <w:pPr>
              <w:pStyle w:val="BodyTextIndent2"/>
              <w:ind w:left="0" w:firstLine="0"/>
              <w:jc w:val="center"/>
            </w:pPr>
          </w:p>
        </w:tc>
      </w:tr>
      <w:tr w:rsidR="00F26947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18"/>
          <w:trPrChange w:id="3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" w:author="Norbert Haupert" w:date="2005-02-21T14:1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26947" w:rsidRDefault="00F26947" w:rsidP="00F26947">
            <w:pPr>
              <w:rPr>
                <w:color w:val="008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" w:author="Norbert Haupert" w:date="2005-02-21T14:1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26947" w:rsidRDefault="00F26947" w:rsidP="00F26947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6" w:author="Norbert Haupert" w:date="2005-02-21T14:1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26947" w:rsidRDefault="00F26947" w:rsidP="00F26947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7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En valeur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8" w:author="Norbert Haupert" w:date="2005-02-21T14:19:00Z">
              <w:tcPr>
                <w:tcW w:w="1134" w:type="dxa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En %</w:t>
            </w:r>
          </w:p>
        </w:tc>
      </w:tr>
      <w:tr w:rsidR="00F26947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9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0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11" w:author="Norbert Haupert" w:date="2005-02-21T14:19:00Z">
              <w:tcPr>
                <w:tcW w:w="297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</w:pPr>
            <w:r>
              <w:t>Recettes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12" w:author="Norbert Haupert" w:date="2005-02-21T14:19:00Z">
              <w:tcPr>
                <w:tcW w:w="198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rPr>
                <w:color w:val="008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13" w:author="Norbert Haupert" w:date="2005-02-21T14:19:00Z">
              <w:tcPr>
                <w:tcW w:w="198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rPr>
                <w:color w:val="008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14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  <w:rPr>
                <w:color w:val="008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15" w:author="Norbert Haupert" w:date="2005-02-21T14:19:00Z"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  <w:rPr>
                <w:color w:val="008000"/>
              </w:rPr>
            </w:pPr>
          </w:p>
        </w:tc>
      </w:tr>
      <w:tr w:rsidR="00F26947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16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7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18" w:author="Norbert Haupert" w:date="2005-02-21T14:19:00Z">
              <w:tcPr>
                <w:tcW w:w="2978" w:type="dxa"/>
                <w:gridSpan w:val="2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numPr>
                <w:ilvl w:val="0"/>
                <w:numId w:val="2"/>
              </w:numPr>
            </w:pPr>
            <w:r>
              <w:t>courantes</w:t>
            </w:r>
          </w:p>
          <w:p w:rsidR="00F26947" w:rsidRDefault="00F26947" w:rsidP="00F26947">
            <w:pPr>
              <w:pStyle w:val="BodyTextIndent2"/>
              <w:numPr>
                <w:ilvl w:val="0"/>
                <w:numId w:val="2"/>
              </w:numPr>
            </w:pPr>
            <w:r>
              <w:t>en capital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19" w:author="Norbert Haupert" w:date="2005-02-21T14:19:00Z">
              <w:tcPr>
                <w:tcW w:w="1984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6.242.721.961,00</w:t>
            </w:r>
          </w:p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149.846.588,00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0" w:author="Norbert Haupert" w:date="2005-02-21T14:19:00Z">
              <w:tcPr>
                <w:tcW w:w="1985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6.618.749.595,36</w:t>
            </w:r>
          </w:p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116.042.177,39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1" w:author="Norbert Haupert" w:date="2005-02-21T14:19:00Z"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376.027.634,36</w:t>
            </w:r>
          </w:p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(-33.804.410,61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2" w:author="Norbert Haupert" w:date="2005-02-21T14:19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+ 6,0</w:t>
            </w:r>
          </w:p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- 22,6</w:t>
            </w:r>
          </w:p>
        </w:tc>
      </w:tr>
      <w:tr w:rsidR="00F26947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3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4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25" w:author="Norbert Haupert" w:date="2005-02-21T14:19:00Z">
              <w:tcPr>
                <w:tcW w:w="2978" w:type="dxa"/>
                <w:gridSpan w:val="2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6" w:author="Norbert Haupert" w:date="2005-02-21T14:19:00Z">
              <w:tcPr>
                <w:tcW w:w="1984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7" w:author="Norbert Haupert" w:date="2005-02-21T14:19:00Z">
              <w:tcPr>
                <w:tcW w:w="1985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8" w:author="Norbert Haupert" w:date="2005-02-21T14:19:00Z"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9" w:author="Norbert Haupert" w:date="2005-02-21T14:19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</w:p>
        </w:tc>
      </w:tr>
      <w:tr w:rsidR="00F26947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1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2" w:author="Norbert Haupert" w:date="2005-02-21T14:19:00Z">
              <w:tcPr>
                <w:tcW w:w="297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</w:pPr>
            <w:r>
              <w:t>Total recettes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3" w:author="Norbert Haupert" w:date="2005-02-21T14:19:00Z"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6.392.568.549,00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4" w:author="Norbert Haupert" w:date="2005-02-21T14:19:00Z"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6.734.791.772,75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5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342.223.223,75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6" w:author="Norbert Haupert" w:date="2005-02-21T14:19:00Z">
              <w:tcPr>
                <w:tcW w:w="1134" w:type="dxa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+ 5,3</w:t>
            </w:r>
          </w:p>
        </w:tc>
      </w:tr>
      <w:tr w:rsidR="00F26947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7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8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9" w:author="Norbert Haupert" w:date="2005-02-21T14:19:00Z">
              <w:tcPr>
                <w:tcW w:w="297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</w:pPr>
            <w:r>
              <w:t>Dépenses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40" w:author="Norbert Haupert" w:date="2005-02-21T14:19:00Z">
              <w:tcPr>
                <w:tcW w:w="198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41" w:author="Norbert Haupert" w:date="2005-02-21T14:19:00Z">
              <w:tcPr>
                <w:tcW w:w="198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42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43" w:author="Norbert Haupert" w:date="2005-02-21T14:19:00Z"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</w:p>
        </w:tc>
      </w:tr>
      <w:tr w:rsidR="00F26947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44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45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46" w:author="Norbert Haupert" w:date="2005-02-21T14:19:00Z">
              <w:tcPr>
                <w:tcW w:w="2978" w:type="dxa"/>
                <w:gridSpan w:val="2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numPr>
                <w:ilvl w:val="0"/>
                <w:numId w:val="2"/>
              </w:numPr>
            </w:pPr>
            <w:r>
              <w:t>courantes</w:t>
            </w:r>
          </w:p>
          <w:p w:rsidR="00F26947" w:rsidRDefault="00F26947" w:rsidP="00F26947">
            <w:pPr>
              <w:pStyle w:val="BodyTextIndent2"/>
              <w:numPr>
                <w:ilvl w:val="0"/>
                <w:numId w:val="2"/>
              </w:numPr>
            </w:pPr>
            <w:r>
              <w:t>en capital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47" w:author="Norbert Haupert" w:date="2005-02-21T14:19:00Z">
              <w:tcPr>
                <w:tcW w:w="1984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5.809.762.601,00</w:t>
            </w:r>
          </w:p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671.142.299,00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48" w:author="Norbert Haupert" w:date="2005-02-21T14:19:00Z">
              <w:tcPr>
                <w:tcW w:w="1985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5.968.160.031,73</w:t>
            </w:r>
          </w:p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920.922.196,87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49" w:author="Norbert Haupert" w:date="2005-02-21T14:19:00Z"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158.397.430,73</w:t>
            </w:r>
          </w:p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249.779.897,87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0" w:author="Norbert Haupert" w:date="2005-02-21T14:19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+ 2,7</w:t>
            </w:r>
          </w:p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+ 37,2</w:t>
            </w:r>
          </w:p>
        </w:tc>
      </w:tr>
      <w:tr w:rsidR="00F26947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51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52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53" w:author="Norbert Haupert" w:date="2005-02-21T14:19:00Z">
              <w:tcPr>
                <w:tcW w:w="2978" w:type="dxa"/>
                <w:gridSpan w:val="2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4" w:author="Norbert Haupert" w:date="2005-02-21T14:19:00Z">
              <w:tcPr>
                <w:tcW w:w="1984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5" w:author="Norbert Haupert" w:date="2005-02-21T14:19:00Z">
              <w:tcPr>
                <w:tcW w:w="1985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6" w:author="Norbert Haupert" w:date="2005-02-21T14:19:00Z"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7" w:author="Norbert Haupert" w:date="2005-02-21T14:19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</w:p>
        </w:tc>
      </w:tr>
      <w:tr w:rsidR="00F26947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58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59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0" w:author="Norbert Haupert" w:date="2005-02-21T14:19:00Z">
              <w:tcPr>
                <w:tcW w:w="297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</w:pPr>
            <w:r>
              <w:t>Total dépenses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1" w:author="Norbert Haupert" w:date="2005-02-21T14:19:00Z"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6.480.904.900,00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2" w:author="Norbert Haupert" w:date="2005-02-21T14:19:00Z"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6.889.082.228,60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3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right"/>
            </w:pPr>
            <w:r>
              <w:t>408.177.328,60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4" w:author="Norbert Haupert" w:date="2005-02-21T14:19:00Z">
              <w:tcPr>
                <w:tcW w:w="1134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center"/>
            </w:pPr>
            <w:r>
              <w:t>+ 6,3</w:t>
            </w:r>
          </w:p>
        </w:tc>
      </w:tr>
      <w:tr w:rsidR="00F26947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65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66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7" w:author="Norbert Haupert" w:date="2005-02-21T14:19:00Z">
              <w:tcPr>
                <w:tcW w:w="297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Pr="0084244D" w:rsidRDefault="00F26947" w:rsidP="00F26947">
            <w:pPr>
              <w:pStyle w:val="BodyTextIndent2"/>
              <w:ind w:left="0" w:firstLine="0"/>
              <w:rPr>
                <w:b/>
              </w:rPr>
            </w:pPr>
            <w:r w:rsidRPr="0084244D">
              <w:rPr>
                <w:b/>
              </w:rPr>
              <w:t xml:space="preserve">Excédent </w:t>
            </w:r>
          </w:p>
          <w:p w:rsidR="00F26947" w:rsidRPr="0084244D" w:rsidRDefault="00F26947" w:rsidP="00F26947">
            <w:pPr>
              <w:pStyle w:val="BodyTextIndent2"/>
              <w:ind w:left="0" w:firstLine="0"/>
              <w:rPr>
                <w:b/>
              </w:rPr>
            </w:pPr>
            <w:r w:rsidRPr="0084244D">
              <w:rPr>
                <w:b/>
              </w:rPr>
              <w:t>de dépenses (2)-(1)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8" w:author="Norbert Haupert" w:date="2005-02-21T14:19:00Z"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Pr="0084244D" w:rsidRDefault="00F26947" w:rsidP="00F26947">
            <w:pPr>
              <w:pStyle w:val="BodyTextIndent2"/>
              <w:ind w:left="0" w:firstLine="0"/>
              <w:jc w:val="right"/>
              <w:rPr>
                <w:b/>
              </w:rPr>
            </w:pPr>
            <w:r w:rsidRPr="0084244D">
              <w:rPr>
                <w:b/>
              </w:rPr>
              <w:t>88.336.351,00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9" w:author="Norbert Haupert" w:date="2005-02-21T14:19:00Z"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Pr="0084244D" w:rsidRDefault="00F26947" w:rsidP="00F26947">
            <w:pPr>
              <w:pStyle w:val="BodyTextIndent2"/>
              <w:ind w:left="0" w:firstLine="0"/>
              <w:jc w:val="right"/>
              <w:rPr>
                <w:b/>
              </w:rPr>
            </w:pPr>
            <w:r w:rsidRPr="0084244D">
              <w:rPr>
                <w:b/>
              </w:rPr>
              <w:t>154.290.455,85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0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Pr="0084244D" w:rsidRDefault="00F26947" w:rsidP="00F26947">
            <w:pPr>
              <w:pStyle w:val="BodyTextIndent2"/>
              <w:ind w:left="0" w:firstLine="0"/>
              <w:jc w:val="right"/>
              <w:rPr>
                <w:b/>
              </w:rPr>
            </w:pPr>
            <w:r w:rsidRPr="0084244D">
              <w:rPr>
                <w:b/>
              </w:rPr>
              <w:t>65.954.104,85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1" w:author="Norbert Haupert" w:date="2005-02-21T14:19:00Z">
              <w:tcPr>
                <w:tcW w:w="1134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F26947" w:rsidRDefault="00F26947" w:rsidP="00F26947">
            <w:pPr>
              <w:pStyle w:val="BodyTextIndent2"/>
              <w:ind w:left="0" w:firstLine="0"/>
              <w:jc w:val="center"/>
              <w:rPr>
                <w:color w:val="008000"/>
              </w:rPr>
            </w:pPr>
          </w:p>
        </w:tc>
      </w:tr>
    </w:tbl>
    <w:p w:rsidR="00F26947" w:rsidRDefault="00F26947" w:rsidP="00F26947">
      <w:pPr>
        <w:autoSpaceDE w:val="0"/>
        <w:autoSpaceDN w:val="0"/>
        <w:adjustRightInd w:val="0"/>
        <w:jc w:val="both"/>
      </w:pPr>
    </w:p>
    <w:p w:rsidR="00F26947" w:rsidRDefault="00F26947" w:rsidP="00F26947">
      <w:pPr>
        <w:autoSpaceDE w:val="0"/>
        <w:autoSpaceDN w:val="0"/>
        <w:adjustRightInd w:val="0"/>
        <w:jc w:val="both"/>
      </w:pPr>
      <w:r>
        <w:lastRenderedPageBreak/>
        <w:t xml:space="preserve">En ce qui concerne les </w:t>
      </w:r>
      <w:r w:rsidRPr="008C453E">
        <w:rPr>
          <w:u w:val="single"/>
        </w:rPr>
        <w:t>catégories de recettes</w:t>
      </w:r>
      <w:r>
        <w:t xml:space="preserve"> les plus importantes les chif</w:t>
      </w:r>
      <w:r w:rsidR="00281FFC">
        <w:t>fres présentés par la Cour des c</w:t>
      </w:r>
      <w:r>
        <w:t>omptes donnent l'image suivante:</w:t>
      </w:r>
    </w:p>
    <w:p w:rsidR="00F26947" w:rsidRDefault="00F26947" w:rsidP="00F26947">
      <w:pPr>
        <w:autoSpaceDE w:val="0"/>
        <w:autoSpaceDN w:val="0"/>
        <w:adjustRightInd w:val="0"/>
        <w:jc w:val="both"/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773"/>
        <w:gridCol w:w="1835"/>
      </w:tblGrid>
      <w:tr w:rsidR="00F26947">
        <w:tc>
          <w:tcPr>
            <w:tcW w:w="4773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Impôts indirects et prélèvements</w:t>
            </w:r>
          </w:p>
        </w:tc>
        <w:tc>
          <w:tcPr>
            <w:tcW w:w="1835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3.210.280.470</w:t>
            </w:r>
          </w:p>
        </w:tc>
      </w:tr>
      <w:tr w:rsidR="00F26947">
        <w:tc>
          <w:tcPr>
            <w:tcW w:w="4773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Impôts directs</w:t>
            </w:r>
          </w:p>
        </w:tc>
        <w:tc>
          <w:tcPr>
            <w:tcW w:w="1835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3.079.947.780</w:t>
            </w:r>
          </w:p>
        </w:tc>
      </w:tr>
      <w:tr w:rsidR="00F26947">
        <w:tc>
          <w:tcPr>
            <w:tcW w:w="4773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Vente de biens non durables et de services</w:t>
            </w:r>
          </w:p>
        </w:tc>
        <w:tc>
          <w:tcPr>
            <w:tcW w:w="1835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91.607.478</w:t>
            </w:r>
          </w:p>
        </w:tc>
      </w:tr>
      <w:tr w:rsidR="00F26947">
        <w:tc>
          <w:tcPr>
            <w:tcW w:w="4773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Autres produits du patrimoine</w:t>
            </w:r>
          </w:p>
        </w:tc>
        <w:tc>
          <w:tcPr>
            <w:tcW w:w="1835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69.041.784</w:t>
            </w:r>
          </w:p>
        </w:tc>
      </w:tr>
      <w:tr w:rsidR="00F26947">
        <w:tc>
          <w:tcPr>
            <w:tcW w:w="4773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Intérêts de créance</w:t>
            </w:r>
          </w:p>
        </w:tc>
        <w:tc>
          <w:tcPr>
            <w:tcW w:w="1835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67.805.424</w:t>
            </w:r>
          </w:p>
        </w:tc>
      </w:tr>
      <w:tr w:rsidR="00F26947">
        <w:tc>
          <w:tcPr>
            <w:tcW w:w="4773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Vente de terrains et de bâtiments</w:t>
            </w:r>
          </w:p>
        </w:tc>
        <w:tc>
          <w:tcPr>
            <w:tcW w:w="1835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60.962.249</w:t>
            </w:r>
          </w:p>
        </w:tc>
      </w:tr>
    </w:tbl>
    <w:p w:rsidR="00F26947" w:rsidRDefault="00F26947" w:rsidP="00F26947">
      <w:pPr>
        <w:autoSpaceDE w:val="0"/>
        <w:autoSpaceDN w:val="0"/>
        <w:adjustRightInd w:val="0"/>
        <w:jc w:val="both"/>
      </w:pPr>
    </w:p>
    <w:p w:rsidR="00F26947" w:rsidRDefault="00F26947" w:rsidP="00F26947">
      <w:pPr>
        <w:autoSpaceDE w:val="0"/>
        <w:autoSpaceDN w:val="0"/>
        <w:adjustRightInd w:val="0"/>
        <w:jc w:val="both"/>
      </w:pPr>
      <w:r>
        <w:t xml:space="preserve">Les </w:t>
      </w:r>
      <w:r w:rsidR="00720A84">
        <w:rPr>
          <w:u w:val="single"/>
        </w:rPr>
        <w:t>catégories</w:t>
      </w:r>
      <w:r w:rsidRPr="001C2C92">
        <w:rPr>
          <w:u w:val="single"/>
        </w:rPr>
        <w:t xml:space="preserve"> de dépenses</w:t>
      </w:r>
      <w:r>
        <w:t xml:space="preserve"> les plus importantes se présentent comme suit:</w:t>
      </w:r>
    </w:p>
    <w:p w:rsidR="00F26947" w:rsidRDefault="00F26947" w:rsidP="00F26947">
      <w:pPr>
        <w:autoSpaceDE w:val="0"/>
        <w:autoSpaceDN w:val="0"/>
        <w:adjustRightInd w:val="0"/>
        <w:jc w:val="both"/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408"/>
        <w:gridCol w:w="1800"/>
      </w:tblGrid>
      <w:tr w:rsidR="00F26947">
        <w:tc>
          <w:tcPr>
            <w:tcW w:w="6408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Transferts de revenus aux administrations de sécurité sociale</w:t>
            </w:r>
          </w:p>
        </w:tc>
        <w:tc>
          <w:tcPr>
            <w:tcW w:w="1800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2.285.436.709</w:t>
            </w:r>
          </w:p>
        </w:tc>
      </w:tr>
      <w:tr w:rsidR="00F26947">
        <w:tc>
          <w:tcPr>
            <w:tcW w:w="6408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Salaires et charges sociales</w:t>
            </w:r>
          </w:p>
        </w:tc>
        <w:tc>
          <w:tcPr>
            <w:tcW w:w="1800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1.259.487.691</w:t>
            </w:r>
          </w:p>
        </w:tc>
      </w:tr>
      <w:tr w:rsidR="00F26947">
        <w:tc>
          <w:tcPr>
            <w:tcW w:w="6408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Dotations de fonds de réserve</w:t>
            </w:r>
          </w:p>
        </w:tc>
        <w:tc>
          <w:tcPr>
            <w:tcW w:w="1800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1.238.589.605</w:t>
            </w:r>
          </w:p>
        </w:tc>
      </w:tr>
      <w:tr w:rsidR="00F26947">
        <w:tc>
          <w:tcPr>
            <w:tcW w:w="6408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Achat de biens non durables et de services</w:t>
            </w:r>
          </w:p>
        </w:tc>
        <w:tc>
          <w:tcPr>
            <w:tcW w:w="1800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338.714.063</w:t>
            </w:r>
          </w:p>
        </w:tc>
      </w:tr>
      <w:tr w:rsidR="00F26947">
        <w:tc>
          <w:tcPr>
            <w:tcW w:w="6408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Transferts de revenus aux administrations privées</w:t>
            </w:r>
          </w:p>
        </w:tc>
        <w:tc>
          <w:tcPr>
            <w:tcW w:w="1800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285.143.089</w:t>
            </w:r>
          </w:p>
        </w:tc>
      </w:tr>
      <w:tr w:rsidR="00F26947">
        <w:tc>
          <w:tcPr>
            <w:tcW w:w="6408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Subventions d'exploitation</w:t>
            </w:r>
          </w:p>
        </w:tc>
        <w:tc>
          <w:tcPr>
            <w:tcW w:w="1800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255.308.640</w:t>
            </w:r>
          </w:p>
        </w:tc>
      </w:tr>
      <w:tr w:rsidR="00F26947">
        <w:tc>
          <w:tcPr>
            <w:tcW w:w="6408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Transferts de revenus aux ménages</w:t>
            </w:r>
          </w:p>
        </w:tc>
        <w:tc>
          <w:tcPr>
            <w:tcW w:w="1800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228.758.613</w:t>
            </w:r>
          </w:p>
        </w:tc>
      </w:tr>
      <w:tr w:rsidR="00F26947">
        <w:tc>
          <w:tcPr>
            <w:tcW w:w="6408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Transf. de rev. autres que des subv. d'exploit. aux entreprises</w:t>
            </w:r>
          </w:p>
        </w:tc>
        <w:tc>
          <w:tcPr>
            <w:tcW w:w="1800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151.593.361</w:t>
            </w:r>
          </w:p>
        </w:tc>
      </w:tr>
      <w:tr w:rsidR="00F26947">
        <w:tc>
          <w:tcPr>
            <w:tcW w:w="6408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Transferts de revenus aux administrations publiques locales</w:t>
            </w:r>
          </w:p>
        </w:tc>
        <w:tc>
          <w:tcPr>
            <w:tcW w:w="1800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102.367.490</w:t>
            </w:r>
          </w:p>
        </w:tc>
      </w:tr>
      <w:tr w:rsidR="00F26947">
        <w:tc>
          <w:tcPr>
            <w:tcW w:w="6408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both"/>
            </w:pPr>
            <w:r>
              <w:t>Remboursement de la dette publique consolidée</w:t>
            </w:r>
          </w:p>
        </w:tc>
        <w:tc>
          <w:tcPr>
            <w:tcW w:w="1800" w:type="dxa"/>
          </w:tcPr>
          <w:p w:rsidR="00F26947" w:rsidRDefault="00F26947" w:rsidP="00F26947">
            <w:pPr>
              <w:autoSpaceDE w:val="0"/>
              <w:autoSpaceDN w:val="0"/>
              <w:adjustRightInd w:val="0"/>
              <w:jc w:val="right"/>
            </w:pPr>
            <w:r>
              <w:t>80.000.000</w:t>
            </w:r>
          </w:p>
        </w:tc>
      </w:tr>
    </w:tbl>
    <w:p w:rsidR="00F26947" w:rsidRDefault="00F26947" w:rsidP="00F26947">
      <w:pPr>
        <w:autoSpaceDE w:val="0"/>
        <w:autoSpaceDN w:val="0"/>
        <w:adjustRightInd w:val="0"/>
        <w:jc w:val="both"/>
      </w:pPr>
    </w:p>
    <w:p w:rsidR="00F26947" w:rsidRDefault="00F26947" w:rsidP="00F26947">
      <w:pPr>
        <w:autoSpaceDE w:val="0"/>
        <w:autoSpaceDN w:val="0"/>
        <w:adjustRightInd w:val="0"/>
        <w:jc w:val="both"/>
      </w:pPr>
    </w:p>
    <w:p w:rsidR="00F26947" w:rsidRDefault="00F26947" w:rsidP="00F26947">
      <w:pPr>
        <w:autoSpaceDE w:val="0"/>
        <w:autoSpaceDN w:val="0"/>
        <w:adjustRightInd w:val="0"/>
        <w:jc w:val="both"/>
      </w:pPr>
      <w:r>
        <w:t xml:space="preserve">Les dépenses courantes et en capital effectives </w:t>
      </w:r>
      <w:r w:rsidRPr="00F87682">
        <w:rPr>
          <w:u w:val="single"/>
        </w:rPr>
        <w:t>dépassent de 6,3% le total des dépenses prévues</w:t>
      </w:r>
      <w:r>
        <w:t xml:space="preserve"> pour 2004. Par rapport au compte 2003, la progression des dépenses courantes et en capital a été pratiquement la même, à savoir 6,24%.</w:t>
      </w:r>
    </w:p>
    <w:p w:rsidR="00F26947" w:rsidRDefault="00F26947" w:rsidP="00F26947">
      <w:pPr>
        <w:autoSpaceDE w:val="0"/>
        <w:autoSpaceDN w:val="0"/>
        <w:adjustRightInd w:val="0"/>
        <w:jc w:val="both"/>
      </w:pPr>
    </w:p>
    <w:p w:rsidR="00F26947" w:rsidRDefault="00F26947" w:rsidP="00F26947">
      <w:pPr>
        <w:autoSpaceDE w:val="0"/>
        <w:autoSpaceDN w:val="0"/>
        <w:adjustRightInd w:val="0"/>
        <w:jc w:val="both"/>
      </w:pPr>
      <w:r>
        <w:t xml:space="preserve">- Au cours de l’exercice budgétaire 2004, l’intervention des contrôleurs financiers s’est traduite par </w:t>
      </w:r>
      <w:r w:rsidRPr="00F87682">
        <w:rPr>
          <w:u w:val="single"/>
        </w:rPr>
        <w:t>458 refus de visa</w:t>
      </w:r>
      <w:r>
        <w:t xml:space="preserve"> (contre 591 en 2003). </w:t>
      </w:r>
    </w:p>
    <w:p w:rsidR="00F26947" w:rsidRDefault="00F26947" w:rsidP="00F26947">
      <w:pPr>
        <w:autoSpaceDE w:val="0"/>
        <w:autoSpaceDN w:val="0"/>
        <w:adjustRightInd w:val="0"/>
        <w:jc w:val="both"/>
        <w:rPr>
          <w:color w:val="008000"/>
        </w:rPr>
      </w:pPr>
    </w:p>
    <w:p w:rsidR="00F26947" w:rsidRDefault="00F26947" w:rsidP="00F26947">
      <w:pPr>
        <w:autoSpaceDE w:val="0"/>
        <w:autoSpaceDN w:val="0"/>
        <w:adjustRightInd w:val="0"/>
        <w:jc w:val="both"/>
      </w:pPr>
      <w:r>
        <w:t xml:space="preserve">Les </w:t>
      </w:r>
      <w:r w:rsidRPr="00F30D2D">
        <w:rPr>
          <w:u w:val="single"/>
        </w:rPr>
        <w:t>principales raisons</w:t>
      </w:r>
      <w:r>
        <w:t xml:space="preserve"> ayant donné lieu à un refus de visa sont :</w:t>
      </w:r>
    </w:p>
    <w:p w:rsidR="00F26947" w:rsidRDefault="00F26947" w:rsidP="00F26947">
      <w:pPr>
        <w:autoSpaceDE w:val="0"/>
        <w:autoSpaceDN w:val="0"/>
        <w:adjustRightInd w:val="0"/>
        <w:ind w:firstLine="708"/>
        <w:jc w:val="both"/>
      </w:pPr>
      <w:r>
        <w:t>- engagement ex-post (28,2%),</w:t>
      </w:r>
    </w:p>
    <w:p w:rsidR="00F26947" w:rsidRDefault="00F26947" w:rsidP="00F26947">
      <w:pPr>
        <w:autoSpaceDE w:val="0"/>
        <w:autoSpaceDN w:val="0"/>
        <w:adjustRightInd w:val="0"/>
        <w:ind w:firstLine="708"/>
        <w:jc w:val="both"/>
      </w:pPr>
      <w:r>
        <w:t>- non-respect de la législation sur les marchés publics (21,2%),</w:t>
      </w:r>
    </w:p>
    <w:p w:rsidR="00F26947" w:rsidRDefault="00F26947" w:rsidP="00F26947">
      <w:pPr>
        <w:autoSpaceDE w:val="0"/>
        <w:autoSpaceDN w:val="0"/>
        <w:adjustRightInd w:val="0"/>
        <w:ind w:firstLine="708"/>
        <w:jc w:val="both"/>
      </w:pPr>
      <w:r>
        <w:t>- absence de base légale ou base légale non-conforme (15,1%),</w:t>
      </w:r>
    </w:p>
    <w:p w:rsidR="00F26947" w:rsidRDefault="00F26947" w:rsidP="00F26947">
      <w:pPr>
        <w:autoSpaceDE w:val="0"/>
        <w:autoSpaceDN w:val="0"/>
        <w:adjustRightInd w:val="0"/>
        <w:ind w:firstLine="708"/>
        <w:jc w:val="both"/>
      </w:pPr>
      <w:r>
        <w:t>- erreur d’imputation budgétaire (11,6%).</w:t>
      </w:r>
    </w:p>
    <w:p w:rsidR="00F26947" w:rsidRDefault="00F26947" w:rsidP="00F26947">
      <w:pPr>
        <w:autoSpaceDE w:val="0"/>
        <w:autoSpaceDN w:val="0"/>
        <w:adjustRightInd w:val="0"/>
        <w:jc w:val="both"/>
      </w:pPr>
    </w:p>
    <w:p w:rsidR="00773855" w:rsidRDefault="00773855" w:rsidP="00773855">
      <w:pPr>
        <w:autoSpaceDE w:val="0"/>
        <w:autoSpaceDN w:val="0"/>
        <w:adjustRightInd w:val="0"/>
        <w:jc w:val="both"/>
      </w:pPr>
      <w:r w:rsidRPr="00773855">
        <w:t xml:space="preserve">- </w:t>
      </w:r>
      <w:r w:rsidR="00F26947" w:rsidRPr="00773855">
        <w:t>L</w:t>
      </w:r>
      <w:r w:rsidRPr="00773855">
        <w:t>a Cour des comptes a procédé au</w:t>
      </w:r>
      <w:r w:rsidR="00F26947" w:rsidRPr="00773855">
        <w:t xml:space="preserve"> contrôle intensifié </w:t>
      </w:r>
      <w:r w:rsidRPr="00773855">
        <w:t>de divers points</w:t>
      </w:r>
      <w:r w:rsidR="00CC2616">
        <w:t xml:space="preserve"> et rendu ses recommandations</w:t>
      </w:r>
      <w:r w:rsidRPr="00773855">
        <w:t xml:space="preserve"> </w:t>
      </w:r>
      <w:r w:rsidR="00ED55CA">
        <w:t>qui ont ensuite été examiné</w:t>
      </w:r>
      <w:r w:rsidR="00CC2616">
        <w:t>es au sein de</w:t>
      </w:r>
      <w:r w:rsidR="00ED55CA">
        <w:t xml:space="preserve"> la Commission du Contrôle de l’exécution budgétaire et des Comptes. Le résultat de</w:t>
      </w:r>
      <w:r w:rsidR="00CC2616">
        <w:t>s</w:t>
      </w:r>
      <w:r w:rsidR="00ED55CA">
        <w:t xml:space="preserve"> contrôles </w:t>
      </w:r>
      <w:r w:rsidR="00CC2616">
        <w:t xml:space="preserve">effectués </w:t>
      </w:r>
      <w:r w:rsidR="00ED55CA">
        <w:t xml:space="preserve">et les commentaires de la Commission </w:t>
      </w:r>
      <w:r w:rsidR="00F8250E">
        <w:t xml:space="preserve">à leur sujet </w:t>
      </w:r>
      <w:r w:rsidR="00ED55CA">
        <w:t>se trouvent dans le</w:t>
      </w:r>
      <w:r>
        <w:t xml:space="preserve"> rapport portant sur le présent projet de loi. </w:t>
      </w:r>
    </w:p>
    <w:p w:rsidR="00F26947" w:rsidRDefault="00F26947" w:rsidP="00773855">
      <w:pPr>
        <w:autoSpaceDE w:val="0"/>
        <w:autoSpaceDN w:val="0"/>
        <w:adjustRightInd w:val="0"/>
        <w:jc w:val="both"/>
      </w:pPr>
    </w:p>
    <w:p w:rsidR="008E5037" w:rsidRDefault="008E5037" w:rsidP="00F26947">
      <w:pPr>
        <w:autoSpaceDE w:val="0"/>
        <w:autoSpaceDN w:val="0"/>
        <w:adjustRightInd w:val="0"/>
        <w:jc w:val="both"/>
        <w:rPr>
          <w:b/>
        </w:rPr>
      </w:pPr>
    </w:p>
    <w:sectPr w:rsidR="008E5037">
      <w:footerReference w:type="even" r:id="rId7"/>
      <w:footerReference w:type="default" r:id="rId8"/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6B15">
      <w:r>
        <w:separator/>
      </w:r>
    </w:p>
  </w:endnote>
  <w:endnote w:type="continuationSeparator" w:id="0">
    <w:p w:rsidR="00000000" w:rsidRDefault="00AA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0E" w:rsidRDefault="00F8250E" w:rsidP="003A7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8250E" w:rsidRDefault="00F825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0E" w:rsidRDefault="00F8250E" w:rsidP="003A7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6B1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8250E" w:rsidRDefault="00F825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6B15">
      <w:r>
        <w:separator/>
      </w:r>
    </w:p>
  </w:footnote>
  <w:footnote w:type="continuationSeparator" w:id="0">
    <w:p w:rsidR="00000000" w:rsidRDefault="00AA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1EA"/>
    <w:multiLevelType w:val="singleLevel"/>
    <w:tmpl w:val="681EDA4C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3E9"/>
    <w:rsid w:val="0000235F"/>
    <w:rsid w:val="00010059"/>
    <w:rsid w:val="00015131"/>
    <w:rsid w:val="00015604"/>
    <w:rsid w:val="00020AA2"/>
    <w:rsid w:val="00027CD0"/>
    <w:rsid w:val="00033831"/>
    <w:rsid w:val="0003724F"/>
    <w:rsid w:val="00041891"/>
    <w:rsid w:val="00044700"/>
    <w:rsid w:val="00092983"/>
    <w:rsid w:val="00097E19"/>
    <w:rsid w:val="000A4532"/>
    <w:rsid w:val="000A6BD8"/>
    <w:rsid w:val="000D5FB7"/>
    <w:rsid w:val="00127218"/>
    <w:rsid w:val="001325AB"/>
    <w:rsid w:val="00134B94"/>
    <w:rsid w:val="001353E9"/>
    <w:rsid w:val="001425C9"/>
    <w:rsid w:val="0015501D"/>
    <w:rsid w:val="001707C1"/>
    <w:rsid w:val="001A7CBF"/>
    <w:rsid w:val="001B60F1"/>
    <w:rsid w:val="001C2C92"/>
    <w:rsid w:val="001C4729"/>
    <w:rsid w:val="001D3D3E"/>
    <w:rsid w:val="001D60C1"/>
    <w:rsid w:val="001E2C1B"/>
    <w:rsid w:val="001F571D"/>
    <w:rsid w:val="001F6857"/>
    <w:rsid w:val="001F68AA"/>
    <w:rsid w:val="00220735"/>
    <w:rsid w:val="00226459"/>
    <w:rsid w:val="002311AA"/>
    <w:rsid w:val="00241B7E"/>
    <w:rsid w:val="00261308"/>
    <w:rsid w:val="00264381"/>
    <w:rsid w:val="00281FFC"/>
    <w:rsid w:val="00283E3E"/>
    <w:rsid w:val="00294D1A"/>
    <w:rsid w:val="002A0F6B"/>
    <w:rsid w:val="002C34B9"/>
    <w:rsid w:val="002C57C7"/>
    <w:rsid w:val="00363BCD"/>
    <w:rsid w:val="0036677D"/>
    <w:rsid w:val="003763F6"/>
    <w:rsid w:val="00392861"/>
    <w:rsid w:val="003A5203"/>
    <w:rsid w:val="003A5615"/>
    <w:rsid w:val="003A6EE6"/>
    <w:rsid w:val="003A7BD1"/>
    <w:rsid w:val="003A7F51"/>
    <w:rsid w:val="003D16AB"/>
    <w:rsid w:val="003E09FE"/>
    <w:rsid w:val="00413FA6"/>
    <w:rsid w:val="00414E11"/>
    <w:rsid w:val="004518B0"/>
    <w:rsid w:val="004537A7"/>
    <w:rsid w:val="00454247"/>
    <w:rsid w:val="00460505"/>
    <w:rsid w:val="00481771"/>
    <w:rsid w:val="004A4505"/>
    <w:rsid w:val="004A6F4A"/>
    <w:rsid w:val="004E3B53"/>
    <w:rsid w:val="004F57DA"/>
    <w:rsid w:val="00530A7F"/>
    <w:rsid w:val="005312D9"/>
    <w:rsid w:val="00533158"/>
    <w:rsid w:val="00547720"/>
    <w:rsid w:val="00571661"/>
    <w:rsid w:val="00573062"/>
    <w:rsid w:val="00582051"/>
    <w:rsid w:val="005A7747"/>
    <w:rsid w:val="005E1110"/>
    <w:rsid w:val="005E43CA"/>
    <w:rsid w:val="005F48FC"/>
    <w:rsid w:val="00613697"/>
    <w:rsid w:val="00624886"/>
    <w:rsid w:val="00625731"/>
    <w:rsid w:val="00626039"/>
    <w:rsid w:val="00630241"/>
    <w:rsid w:val="00644785"/>
    <w:rsid w:val="006504F8"/>
    <w:rsid w:val="00666F8E"/>
    <w:rsid w:val="00694269"/>
    <w:rsid w:val="00694CED"/>
    <w:rsid w:val="006A01F4"/>
    <w:rsid w:val="006A3F86"/>
    <w:rsid w:val="006F2998"/>
    <w:rsid w:val="00700918"/>
    <w:rsid w:val="00720A84"/>
    <w:rsid w:val="0073727B"/>
    <w:rsid w:val="00773855"/>
    <w:rsid w:val="0078624E"/>
    <w:rsid w:val="00787516"/>
    <w:rsid w:val="007C11F1"/>
    <w:rsid w:val="007E524E"/>
    <w:rsid w:val="007F519E"/>
    <w:rsid w:val="00801A5B"/>
    <w:rsid w:val="0084244D"/>
    <w:rsid w:val="00885CF9"/>
    <w:rsid w:val="008C453E"/>
    <w:rsid w:val="008C4CC3"/>
    <w:rsid w:val="008E5037"/>
    <w:rsid w:val="00900894"/>
    <w:rsid w:val="00902E38"/>
    <w:rsid w:val="00926ADB"/>
    <w:rsid w:val="00933FBB"/>
    <w:rsid w:val="00943164"/>
    <w:rsid w:val="009511F5"/>
    <w:rsid w:val="00956A8D"/>
    <w:rsid w:val="00965108"/>
    <w:rsid w:val="009716EA"/>
    <w:rsid w:val="009930C3"/>
    <w:rsid w:val="009A5748"/>
    <w:rsid w:val="009B05F2"/>
    <w:rsid w:val="009B1A68"/>
    <w:rsid w:val="009F0A03"/>
    <w:rsid w:val="00A03FEE"/>
    <w:rsid w:val="00A1060C"/>
    <w:rsid w:val="00A13E56"/>
    <w:rsid w:val="00A77B51"/>
    <w:rsid w:val="00AA6B15"/>
    <w:rsid w:val="00AB4985"/>
    <w:rsid w:val="00AE0870"/>
    <w:rsid w:val="00AF32B0"/>
    <w:rsid w:val="00B0224E"/>
    <w:rsid w:val="00B506DE"/>
    <w:rsid w:val="00B824E4"/>
    <w:rsid w:val="00B97511"/>
    <w:rsid w:val="00BA5007"/>
    <w:rsid w:val="00BD0075"/>
    <w:rsid w:val="00BD5852"/>
    <w:rsid w:val="00BF4879"/>
    <w:rsid w:val="00BF700A"/>
    <w:rsid w:val="00C11FF6"/>
    <w:rsid w:val="00C255BF"/>
    <w:rsid w:val="00C4435A"/>
    <w:rsid w:val="00C56C76"/>
    <w:rsid w:val="00C62AAD"/>
    <w:rsid w:val="00C646BC"/>
    <w:rsid w:val="00C73C3F"/>
    <w:rsid w:val="00C8620C"/>
    <w:rsid w:val="00CB4194"/>
    <w:rsid w:val="00CC2616"/>
    <w:rsid w:val="00CD2752"/>
    <w:rsid w:val="00CD4D1E"/>
    <w:rsid w:val="00CE7418"/>
    <w:rsid w:val="00D1057F"/>
    <w:rsid w:val="00D2186C"/>
    <w:rsid w:val="00D47A87"/>
    <w:rsid w:val="00D51B51"/>
    <w:rsid w:val="00D53511"/>
    <w:rsid w:val="00D67106"/>
    <w:rsid w:val="00D71B3F"/>
    <w:rsid w:val="00D73067"/>
    <w:rsid w:val="00D91D88"/>
    <w:rsid w:val="00DA22AE"/>
    <w:rsid w:val="00DA46BA"/>
    <w:rsid w:val="00DB5F30"/>
    <w:rsid w:val="00DD52DA"/>
    <w:rsid w:val="00DE1B95"/>
    <w:rsid w:val="00DE46DA"/>
    <w:rsid w:val="00DF6117"/>
    <w:rsid w:val="00E1221D"/>
    <w:rsid w:val="00E132E0"/>
    <w:rsid w:val="00E16A91"/>
    <w:rsid w:val="00E26B41"/>
    <w:rsid w:val="00E33BB9"/>
    <w:rsid w:val="00E50310"/>
    <w:rsid w:val="00E54F80"/>
    <w:rsid w:val="00E66C3F"/>
    <w:rsid w:val="00E8286D"/>
    <w:rsid w:val="00E85393"/>
    <w:rsid w:val="00E95D28"/>
    <w:rsid w:val="00EB15E3"/>
    <w:rsid w:val="00EB1A8A"/>
    <w:rsid w:val="00EB26B9"/>
    <w:rsid w:val="00EB3D10"/>
    <w:rsid w:val="00EC2012"/>
    <w:rsid w:val="00EC5CC4"/>
    <w:rsid w:val="00ED52A0"/>
    <w:rsid w:val="00ED55CA"/>
    <w:rsid w:val="00EF4836"/>
    <w:rsid w:val="00F26947"/>
    <w:rsid w:val="00F30D2D"/>
    <w:rsid w:val="00F3485A"/>
    <w:rsid w:val="00F46428"/>
    <w:rsid w:val="00F50B6E"/>
    <w:rsid w:val="00F52756"/>
    <w:rsid w:val="00F573A8"/>
    <w:rsid w:val="00F8250E"/>
    <w:rsid w:val="00F870D0"/>
    <w:rsid w:val="00F87682"/>
    <w:rsid w:val="00FC3CE0"/>
    <w:rsid w:val="00FD3594"/>
    <w:rsid w:val="00FE08C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A47B09F-01C7-400B-BFEE-C09C8AE0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lang w:val="fr-FR" w:eastAsia="fr-FR"/>
    </w:rPr>
  </w:style>
  <w:style w:type="paragraph" w:customStyle="1" w:styleId="BodyTextIndent2">
    <w:name w:val="Body Text Indent 2"/>
    <w:basedOn w:val="Normal"/>
    <w:pPr>
      <w:ind w:left="1701" w:firstLine="567"/>
      <w:jc w:val="both"/>
    </w:pPr>
    <w:rPr>
      <w:szCs w:val="20"/>
    </w:rPr>
  </w:style>
  <w:style w:type="paragraph" w:customStyle="1" w:styleId="Projet">
    <w:name w:val="Projet"/>
    <w:basedOn w:val="Normal"/>
    <w:pPr>
      <w:ind w:left="1701"/>
      <w:jc w:val="both"/>
    </w:pPr>
    <w:rPr>
      <w:b/>
      <w:sz w:val="28"/>
      <w:szCs w:val="20"/>
    </w:rPr>
  </w:style>
  <w:style w:type="character" w:styleId="Numrodepage">
    <w:name w:val="page number"/>
    <w:basedOn w:val="Policepardfaut"/>
    <w:rsid w:val="003A7BD1"/>
  </w:style>
  <w:style w:type="paragraph" w:styleId="Textedebulles">
    <w:name w:val="Balloon Text"/>
    <w:basedOn w:val="Normal"/>
    <w:semiHidden/>
    <w:rsid w:val="00FF42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6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DP5488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5488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/sftpecos/Dossiers_parlementaires/5488/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B4B7976-1F3B-4217-AEE1-ADBBBE80C987}"/>
</file>

<file path=customXml/itemProps2.xml><?xml version="1.0" encoding="utf-8"?>
<ds:datastoreItem xmlns:ds="http://schemas.openxmlformats.org/officeDocument/2006/customXml" ds:itemID="{F9DA4E11-B51C-44DC-B5EF-CE35E166E972}"/>
</file>

<file path=customXml/itemProps3.xml><?xml version="1.0" encoding="utf-8"?>
<ds:datastoreItem xmlns:ds="http://schemas.openxmlformats.org/officeDocument/2006/customXml" ds:itemID="{0D3A7CEC-56DA-4A7E-B332-8FAC68D7A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4938 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Guezennec Caroline</dc:creator>
  <cp:keywords/>
  <dc:description/>
  <cp:lastModifiedBy>SYSTEM</cp:lastModifiedBy>
  <cp:revision>2</cp:revision>
  <cp:lastPrinted>2006-09-29T07:15:00Z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