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3" w:rsidRPr="00E1586A" w:rsidRDefault="00393A2D" w:rsidP="00E1586A">
      <w:pPr>
        <w:jc w:val="both"/>
        <w:rPr>
          <w:b/>
          <w:lang w:val="fr-LU"/>
        </w:rPr>
      </w:pPr>
      <w:bookmarkStart w:id="0" w:name="_GoBack"/>
      <w:bookmarkEnd w:id="0"/>
      <w:r w:rsidRPr="00E1586A">
        <w:rPr>
          <w:b/>
          <w:lang w:val="fr-LU"/>
        </w:rPr>
        <w:t>Projet de loi</w:t>
      </w:r>
      <w:r w:rsidR="00E1586A">
        <w:rPr>
          <w:b/>
          <w:lang w:val="fr-LU"/>
        </w:rPr>
        <w:t xml:space="preserve"> </w:t>
      </w:r>
      <w:r w:rsidR="00E1586A" w:rsidRPr="00E1586A">
        <w:rPr>
          <w:b/>
          <w:lang w:val="fr-LU"/>
        </w:rPr>
        <w:t>5473</w:t>
      </w:r>
      <w:r w:rsidR="00E1586A">
        <w:rPr>
          <w:b/>
          <w:lang w:val="fr-LU"/>
        </w:rPr>
        <w:t xml:space="preserve"> </w:t>
      </w:r>
      <w:r w:rsidR="009270B6" w:rsidRPr="00E1586A">
        <w:rPr>
          <w:b/>
          <w:lang w:val="fr-LU"/>
        </w:rPr>
        <w:t xml:space="preserve">portant approbation de la Convention entre le </w:t>
      </w:r>
      <w:r w:rsidR="00D0277C" w:rsidRPr="00E1586A">
        <w:rPr>
          <w:b/>
          <w:lang w:val="fr-LU"/>
        </w:rPr>
        <w:t xml:space="preserve">Gouvernement du </w:t>
      </w:r>
      <w:r w:rsidR="009270B6" w:rsidRPr="00E1586A">
        <w:rPr>
          <w:b/>
          <w:lang w:val="fr-LU"/>
        </w:rPr>
        <w:t xml:space="preserve">Grand-Duché de Luxembourg et </w:t>
      </w:r>
      <w:r w:rsidR="00D0277C" w:rsidRPr="00E1586A">
        <w:rPr>
          <w:b/>
          <w:lang w:val="fr-LU"/>
        </w:rPr>
        <w:t xml:space="preserve">le Gouvernement de </w:t>
      </w:r>
      <w:r w:rsidR="009270B6" w:rsidRPr="00E1586A">
        <w:rPr>
          <w:b/>
          <w:lang w:val="fr-LU"/>
        </w:rPr>
        <w:t xml:space="preserve">la République </w:t>
      </w:r>
      <w:r w:rsidR="00D0277C" w:rsidRPr="00E1586A">
        <w:rPr>
          <w:b/>
          <w:lang w:val="fr-LU"/>
        </w:rPr>
        <w:t xml:space="preserve">de </w:t>
      </w:r>
      <w:r w:rsidR="008C71C5" w:rsidRPr="00E1586A">
        <w:rPr>
          <w:b/>
          <w:lang w:val="fr-LU"/>
        </w:rPr>
        <w:t>Lituanie</w:t>
      </w:r>
      <w:r w:rsidR="00D0277C" w:rsidRPr="00E1586A">
        <w:rPr>
          <w:b/>
          <w:lang w:val="fr-LU"/>
        </w:rPr>
        <w:t xml:space="preserve"> tendant à éviter les doubles impositions et à prévenir la fraude fiscale </w:t>
      </w:r>
      <w:r w:rsidR="009270B6" w:rsidRPr="00E1586A">
        <w:rPr>
          <w:b/>
          <w:lang w:val="fr-LU"/>
        </w:rPr>
        <w:t>en matière d'impôts sur le revenu et sur la fortune</w:t>
      </w:r>
      <w:r w:rsidR="008C71C5" w:rsidRPr="00E1586A">
        <w:rPr>
          <w:b/>
          <w:lang w:val="fr-LU"/>
        </w:rPr>
        <w:t>,</w:t>
      </w:r>
      <w:r w:rsidR="009270B6" w:rsidRPr="00E1586A">
        <w:rPr>
          <w:b/>
          <w:lang w:val="fr-LU"/>
        </w:rPr>
        <w:t xml:space="preserve"> </w:t>
      </w:r>
      <w:r w:rsidR="00D0277C" w:rsidRPr="00E1586A">
        <w:rPr>
          <w:b/>
          <w:lang w:val="fr-LU"/>
        </w:rPr>
        <w:t>et du Protocole y relatif</w:t>
      </w:r>
      <w:r w:rsidR="009270B6" w:rsidRPr="00E1586A">
        <w:rPr>
          <w:b/>
          <w:lang w:val="fr-LU"/>
        </w:rPr>
        <w:t>, signé</w:t>
      </w:r>
      <w:r w:rsidR="00D0277C" w:rsidRPr="00E1586A">
        <w:rPr>
          <w:b/>
          <w:lang w:val="fr-LU"/>
        </w:rPr>
        <w:t>s</w:t>
      </w:r>
      <w:r w:rsidR="009270B6" w:rsidRPr="00E1586A">
        <w:rPr>
          <w:b/>
          <w:lang w:val="fr-LU"/>
        </w:rPr>
        <w:t xml:space="preserve"> à </w:t>
      </w:r>
      <w:r w:rsidR="008C71C5" w:rsidRPr="00E1586A">
        <w:rPr>
          <w:b/>
          <w:lang w:val="fr-LU"/>
        </w:rPr>
        <w:t>Bruxelles</w:t>
      </w:r>
      <w:r w:rsidR="009270B6" w:rsidRPr="00E1586A">
        <w:rPr>
          <w:b/>
          <w:lang w:val="fr-LU"/>
        </w:rPr>
        <w:t xml:space="preserve">, le </w:t>
      </w:r>
      <w:r w:rsidR="008C71C5" w:rsidRPr="00E1586A">
        <w:rPr>
          <w:b/>
          <w:lang w:val="fr-LU"/>
        </w:rPr>
        <w:t>22</w:t>
      </w:r>
      <w:r w:rsidR="009270B6" w:rsidRPr="00E1586A">
        <w:rPr>
          <w:b/>
          <w:lang w:val="fr-LU"/>
        </w:rPr>
        <w:t xml:space="preserve"> </w:t>
      </w:r>
      <w:r w:rsidR="008C71C5" w:rsidRPr="00E1586A">
        <w:rPr>
          <w:b/>
          <w:lang w:val="fr-LU"/>
        </w:rPr>
        <w:t>novembre</w:t>
      </w:r>
      <w:r w:rsidR="009270B6" w:rsidRPr="00E1586A">
        <w:rPr>
          <w:b/>
          <w:lang w:val="fr-LU"/>
        </w:rPr>
        <w:t xml:space="preserve"> 2004</w:t>
      </w:r>
    </w:p>
    <w:p w:rsidR="00393A2D" w:rsidRPr="00E1586A" w:rsidRDefault="00393A2D" w:rsidP="00E1586A">
      <w:pPr>
        <w:jc w:val="both"/>
        <w:rPr>
          <w:lang w:val="fr-LU"/>
        </w:rPr>
      </w:pPr>
    </w:p>
    <w:p w:rsidR="005F637C" w:rsidRPr="00E1586A" w:rsidRDefault="005F637C" w:rsidP="00E1586A">
      <w:pPr>
        <w:jc w:val="both"/>
      </w:pPr>
      <w:r w:rsidRPr="00E1586A">
        <w:t xml:space="preserve">La présente Convention fiscale s'inspire du modèle OCDE </w:t>
      </w:r>
      <w:r w:rsidR="0054245F">
        <w:t xml:space="preserve">de convention fiscale concernant le revenu et la fortune </w:t>
      </w:r>
      <w:r w:rsidR="00E1586A">
        <w:t>à l’exception des points suivants :</w:t>
      </w:r>
    </w:p>
    <w:p w:rsidR="009405FA" w:rsidRPr="00E1586A" w:rsidRDefault="009405FA" w:rsidP="00E1586A">
      <w:pPr>
        <w:jc w:val="both"/>
      </w:pPr>
    </w:p>
    <w:p w:rsidR="00220020" w:rsidRPr="00E1586A" w:rsidRDefault="005F637C" w:rsidP="00E1586A">
      <w:pPr>
        <w:jc w:val="both"/>
      </w:pPr>
      <w:r w:rsidRPr="00E1586A">
        <w:t xml:space="preserve">1. Contrairement au modèle OCDE qui définit </w:t>
      </w:r>
      <w:r w:rsidR="00A52645" w:rsidRPr="00E1586A">
        <w:t>une entreprise d'un Etat contractant</w:t>
      </w:r>
      <w:r w:rsidR="00220020" w:rsidRPr="00E1586A">
        <w:t xml:space="preserve"> par</w:t>
      </w:r>
      <w:r w:rsidR="00A52645" w:rsidRPr="00E1586A">
        <w:t xml:space="preserve"> référence au siège de direction effective des </w:t>
      </w:r>
      <w:r w:rsidR="00220020" w:rsidRPr="00E1586A">
        <w:t>entreprises</w:t>
      </w:r>
      <w:r w:rsidR="00A52645" w:rsidRPr="00E1586A">
        <w:t xml:space="preserve"> </w:t>
      </w:r>
      <w:r w:rsidR="00220020" w:rsidRPr="00E1586A">
        <w:t>la Convention opte</w:t>
      </w:r>
      <w:r w:rsidR="00A52645" w:rsidRPr="00E1586A">
        <w:t xml:space="preserve"> pour une référence au</w:t>
      </w:r>
      <w:r w:rsidR="00220020" w:rsidRPr="00E1586A">
        <w:t xml:space="preserve"> lieu de résidence de la personne qui exploite l'entreprise</w:t>
      </w:r>
      <w:r w:rsidR="00A52645" w:rsidRPr="00E1586A">
        <w:t xml:space="preserve"> </w:t>
      </w:r>
      <w:r w:rsidR="00A52645" w:rsidRPr="00E1586A">
        <w:rPr>
          <w:i/>
        </w:rPr>
        <w:t>(article 3)</w:t>
      </w:r>
      <w:r w:rsidR="00A52645" w:rsidRPr="00E1586A">
        <w:t>.</w:t>
      </w:r>
    </w:p>
    <w:p w:rsidR="00220020" w:rsidRPr="00E1586A" w:rsidRDefault="00220020" w:rsidP="00E1586A">
      <w:pPr>
        <w:jc w:val="both"/>
      </w:pPr>
    </w:p>
    <w:p w:rsidR="00A52645" w:rsidRPr="00E1586A" w:rsidRDefault="00A52645" w:rsidP="00E1586A">
      <w:pPr>
        <w:jc w:val="both"/>
      </w:pPr>
      <w:r w:rsidRPr="00E1586A">
        <w:t xml:space="preserve">La Convention demande explicitement aux autorités compétentes des deux Etats contractants de trancher les conflits de résidence pour des personnes autres que des personnes physiques </w:t>
      </w:r>
      <w:r w:rsidRPr="00E1586A">
        <w:rPr>
          <w:i/>
        </w:rPr>
        <w:t>(article 4)</w:t>
      </w:r>
      <w:r w:rsidRPr="00E1586A">
        <w:t>.</w:t>
      </w:r>
      <w:r w:rsidR="0054245F">
        <w:t xml:space="preserve"> </w:t>
      </w:r>
      <w:r w:rsidRPr="00E1586A">
        <w:t>En ce qui concerne la d</w:t>
      </w:r>
      <w:r w:rsidR="00220020" w:rsidRPr="00E1586A">
        <w:t>éfinition de</w:t>
      </w:r>
      <w:r w:rsidRPr="00E1586A">
        <w:t xml:space="preserve"> résident d'un Etat contractant, </w:t>
      </w:r>
      <w:r w:rsidR="00220020" w:rsidRPr="00E1586A">
        <w:t xml:space="preserve">la Convention ajoute </w:t>
      </w:r>
      <w:r w:rsidRPr="00E1586A">
        <w:t>le lieu d'enregistrement à l'énumération des termes et expressions qui peuvent être pris en considération</w:t>
      </w:r>
      <w:r w:rsidR="00220020" w:rsidRPr="00E1586A">
        <w:t xml:space="preserve"> pour </w:t>
      </w:r>
      <w:r w:rsidR="0093749E" w:rsidRPr="00E1586A">
        <w:t xml:space="preserve">la </w:t>
      </w:r>
      <w:r w:rsidR="00220020" w:rsidRPr="00E1586A">
        <w:t>qualification de résident</w:t>
      </w:r>
      <w:r w:rsidRPr="00E1586A">
        <w:t>.</w:t>
      </w:r>
    </w:p>
    <w:p w:rsidR="00A52645" w:rsidRPr="00E1586A" w:rsidRDefault="00A52645" w:rsidP="00E1586A">
      <w:pPr>
        <w:jc w:val="both"/>
      </w:pPr>
    </w:p>
    <w:p w:rsidR="00220020" w:rsidRDefault="00220020" w:rsidP="00E1586A">
      <w:pPr>
        <w:jc w:val="both"/>
      </w:pPr>
      <w:r w:rsidRPr="00E1586A">
        <w:t>2. La notion d'établissement stable</w:t>
      </w:r>
      <w:r w:rsidR="00D66108" w:rsidRPr="00E1586A">
        <w:t xml:space="preserve"> </w:t>
      </w:r>
      <w:r w:rsidR="00D66108" w:rsidRPr="00E1586A">
        <w:rPr>
          <w:i/>
        </w:rPr>
        <w:t>(article 5)</w:t>
      </w:r>
      <w:r w:rsidRPr="00E1586A">
        <w:t xml:space="preserve"> diffère aussi légèrement de la définition donnée par le modèle OCDE. </w:t>
      </w:r>
    </w:p>
    <w:p w:rsidR="0054245F" w:rsidRPr="00E1586A" w:rsidRDefault="0054245F" w:rsidP="00E1586A">
      <w:pPr>
        <w:jc w:val="both"/>
      </w:pPr>
    </w:p>
    <w:p w:rsidR="00A52645" w:rsidRPr="00E1586A" w:rsidRDefault="00B61372" w:rsidP="00E1586A">
      <w:pPr>
        <w:jc w:val="both"/>
      </w:pPr>
      <w:r w:rsidRPr="00E1586A">
        <w:t xml:space="preserve">3. </w:t>
      </w:r>
      <w:r w:rsidR="003A2EB0" w:rsidRPr="00E1586A">
        <w:t xml:space="preserve">La définition des dividendes </w:t>
      </w:r>
      <w:r w:rsidR="003A2EB0" w:rsidRPr="00E1586A">
        <w:rPr>
          <w:i/>
        </w:rPr>
        <w:t>(article 10)</w:t>
      </w:r>
      <w:r w:rsidR="003A2EB0" w:rsidRPr="00E1586A">
        <w:t xml:space="preserve"> a été</w:t>
      </w:r>
      <w:r w:rsidRPr="00E1586A">
        <w:t xml:space="preserve"> légèrement</w:t>
      </w:r>
      <w:r w:rsidR="003A2EB0" w:rsidRPr="00E1586A">
        <w:t xml:space="preserve"> modifiée </w:t>
      </w:r>
      <w:r w:rsidRPr="00E1586A">
        <w:t xml:space="preserve">par rapport au modèle OCDE </w:t>
      </w:r>
      <w:r w:rsidR="003A2EB0" w:rsidRPr="00E1586A">
        <w:t>en ne mentionnant pas les revenus provenant d'actions ou de bons de jouissance, des parts de mi</w:t>
      </w:r>
      <w:r w:rsidR="0054245F">
        <w:t>ne et des parts de fondateurs. U</w:t>
      </w:r>
      <w:r w:rsidRPr="00E1586A">
        <w:t>ne précision</w:t>
      </w:r>
      <w:r w:rsidR="003A2EB0" w:rsidRPr="00E1586A">
        <w:t xml:space="preserve"> a été ajouté</w:t>
      </w:r>
      <w:r w:rsidRPr="00E1586A">
        <w:t>e</w:t>
      </w:r>
      <w:r w:rsidR="003A2EB0" w:rsidRPr="00E1586A">
        <w:t xml:space="preserve"> afin de tenir compte des spécificités de la législation </w:t>
      </w:r>
      <w:r w:rsidRPr="00E1586A">
        <w:t>luxembourgeoise</w:t>
      </w:r>
      <w:r w:rsidR="003A2EB0" w:rsidRPr="00E1586A">
        <w:t xml:space="preserve"> en matière de bailleur de fonds et des arrérages et intérêts d'obligations.</w:t>
      </w:r>
      <w:r w:rsidRPr="00E1586A">
        <w:t xml:space="preserve"> Le droit d'imposition est partagé entre l'Etat de la source des dividendes et l'Etat de résidence du bénéficiaire.</w:t>
      </w:r>
    </w:p>
    <w:p w:rsidR="003462B6" w:rsidRPr="00E1586A" w:rsidRDefault="003462B6" w:rsidP="00E1586A">
      <w:pPr>
        <w:jc w:val="both"/>
      </w:pPr>
    </w:p>
    <w:p w:rsidR="003A2EB0" w:rsidRDefault="00B61372" w:rsidP="00E1586A">
      <w:pPr>
        <w:jc w:val="both"/>
      </w:pPr>
      <w:r w:rsidRPr="00E1586A">
        <w:t xml:space="preserve">4. </w:t>
      </w:r>
      <w:r w:rsidR="003A2EB0" w:rsidRPr="00E1586A">
        <w:t xml:space="preserve">En ce qui concerne les redevances, le modèle OCDE pose le principe de l'imposition exclusive de ces revenus dans l'Etat de résidence du bénéficiaire. La Convention sous rubrique prévoit par contre à son </w:t>
      </w:r>
      <w:r w:rsidR="003A2EB0" w:rsidRPr="00E1586A">
        <w:rPr>
          <w:i/>
        </w:rPr>
        <w:t>article 12</w:t>
      </w:r>
      <w:r w:rsidR="003A2EB0" w:rsidRPr="00E1586A">
        <w:t xml:space="preserve"> le partage du droit d'imposition entre l'Etat de la source et de l'Etat de résidence. Ainsi, des plafonds sont prévus pour l'imposition dans l'Etat de la source. </w:t>
      </w:r>
    </w:p>
    <w:p w:rsidR="003A2EB0" w:rsidRDefault="003A2EB0" w:rsidP="00E1586A">
      <w:pPr>
        <w:jc w:val="both"/>
      </w:pPr>
      <w:r w:rsidRPr="00E1586A">
        <w:t xml:space="preserve">Le Protocole prévoit une clause de la nation la plus favorisée pour les redevances. </w:t>
      </w:r>
    </w:p>
    <w:p w:rsidR="0054245F" w:rsidRPr="00E1586A" w:rsidRDefault="0054245F" w:rsidP="00E1586A">
      <w:pPr>
        <w:jc w:val="both"/>
      </w:pPr>
    </w:p>
    <w:p w:rsidR="003462B6" w:rsidRDefault="00B61372" w:rsidP="00E1586A">
      <w:pPr>
        <w:jc w:val="both"/>
      </w:pPr>
      <w:r w:rsidRPr="00E1586A">
        <w:t xml:space="preserve">5. </w:t>
      </w:r>
      <w:r w:rsidR="003462B6" w:rsidRPr="00E1586A">
        <w:t>En ce qui concerne les pensions du secteur privé, payées en vertu d'un emploi antérieur, le modèle de l'OCDE attribue un droit d'imposition exclusif à l'Etat de résidence du bénéficiaire. Le paragraphe 2 de l'</w:t>
      </w:r>
      <w:r w:rsidR="003462B6" w:rsidRPr="00E1586A">
        <w:rPr>
          <w:i/>
        </w:rPr>
        <w:t>article 18</w:t>
      </w:r>
      <w:r w:rsidR="003462B6" w:rsidRPr="00E1586A">
        <w:t xml:space="preserve"> déroge à cette règle prévue au paragraphe 1, en stipulant que les pensions et autres sommes payées en application de la législation sur la sécurité sociale ne sont imposables que dans l'Etat de la source. </w:t>
      </w:r>
    </w:p>
    <w:p w:rsidR="0054245F" w:rsidRPr="00E1586A" w:rsidRDefault="0054245F" w:rsidP="00E1586A">
      <w:pPr>
        <w:jc w:val="both"/>
      </w:pPr>
    </w:p>
    <w:p w:rsidR="003462B6" w:rsidRDefault="00B61372" w:rsidP="00E1586A">
      <w:pPr>
        <w:jc w:val="both"/>
      </w:pPr>
      <w:r w:rsidRPr="00E1586A">
        <w:t xml:space="preserve">6. </w:t>
      </w:r>
      <w:r w:rsidR="003462B6" w:rsidRPr="00E1586A">
        <w:t>A la demande de la Lituanie, l'</w:t>
      </w:r>
      <w:r w:rsidR="003462B6" w:rsidRPr="00E1586A">
        <w:rPr>
          <w:i/>
        </w:rPr>
        <w:t>article 21</w:t>
      </w:r>
      <w:r w:rsidR="003462B6" w:rsidRPr="00E1586A">
        <w:t xml:space="preserve"> est ajouté à la Convention, visant les activités en mer en relation avec la prospection ou l'exploration du lit de mer ou du sous-sol et de leurs ressources naturelles. </w:t>
      </w:r>
    </w:p>
    <w:p w:rsidR="0054245F" w:rsidRPr="00E1586A" w:rsidRDefault="0054245F" w:rsidP="00E1586A">
      <w:pPr>
        <w:jc w:val="both"/>
      </w:pPr>
    </w:p>
    <w:p w:rsidR="001460E7" w:rsidRPr="00E1586A" w:rsidRDefault="00B61372" w:rsidP="00E1586A">
      <w:pPr>
        <w:jc w:val="both"/>
      </w:pPr>
      <w:r w:rsidRPr="00E1586A">
        <w:t xml:space="preserve">7. </w:t>
      </w:r>
      <w:r w:rsidR="001460E7" w:rsidRPr="00E1586A">
        <w:t>L'</w:t>
      </w:r>
      <w:r w:rsidR="001460E7" w:rsidRPr="00E1586A">
        <w:rPr>
          <w:i/>
        </w:rPr>
        <w:t>article 22</w:t>
      </w:r>
      <w:r w:rsidR="001460E7" w:rsidRPr="00E1586A">
        <w:t xml:space="preserve"> traite du droit d'imposition des revenus qui ne sont pas réglementés dans les articles 6 à 21. Suivant le modèle de l'OCDE, ces revenus sont généralement imposés dans l'Etat de résidence du bénéficiaire. La Convention sous rubrique déroge à cette règle </w:t>
      </w:r>
      <w:r w:rsidR="002F3C16" w:rsidRPr="00E1586A">
        <w:t>en</w:t>
      </w:r>
      <w:r w:rsidR="001460E7" w:rsidRPr="00E1586A">
        <w:t xml:space="preserve"> dispos</w:t>
      </w:r>
      <w:r w:rsidR="002F3C16" w:rsidRPr="00E1586A">
        <w:t>ant</w:t>
      </w:r>
      <w:r w:rsidR="001460E7" w:rsidRPr="00E1586A">
        <w:t xml:space="preserve"> que ces revenus sont </w:t>
      </w:r>
      <w:r w:rsidR="002F3C16" w:rsidRPr="00E1586A">
        <w:t xml:space="preserve">également </w:t>
      </w:r>
      <w:r w:rsidR="001460E7" w:rsidRPr="00E1586A">
        <w:t>soumis à l'imposition d</w:t>
      </w:r>
      <w:r w:rsidR="002F3C16" w:rsidRPr="00E1586A">
        <w:t>ans</w:t>
      </w:r>
      <w:r w:rsidR="001460E7" w:rsidRPr="00E1586A">
        <w:t xml:space="preserve"> l'Etat de la source.</w:t>
      </w:r>
    </w:p>
    <w:p w:rsidR="001460E7" w:rsidRPr="00E1586A" w:rsidRDefault="001460E7" w:rsidP="00E1586A">
      <w:pPr>
        <w:jc w:val="both"/>
      </w:pPr>
    </w:p>
    <w:p w:rsidR="003462B6" w:rsidRPr="00E1586A" w:rsidRDefault="00B61372" w:rsidP="00E1586A">
      <w:pPr>
        <w:jc w:val="both"/>
      </w:pPr>
      <w:r w:rsidRPr="00E1586A">
        <w:t>8. En ce qui concerne la méthode d'élimination de la double imposition (</w:t>
      </w:r>
      <w:r w:rsidR="003462B6" w:rsidRPr="00E1586A">
        <w:rPr>
          <w:i/>
        </w:rPr>
        <w:t>article 24</w:t>
      </w:r>
      <w:r w:rsidRPr="00E1586A">
        <w:rPr>
          <w:i/>
        </w:rPr>
        <w:t>)</w:t>
      </w:r>
      <w:r w:rsidR="003462B6" w:rsidRPr="00E1586A">
        <w:t xml:space="preserve">, le Luxembourg opte, comme à l'accoutumée, pour la méthode de l'exemption, à l'exception des dividendes, des intérêts, des redevances et des revenus des artistes, des sportifs et des revenus qualifiés "autres revenus" figurant à l'article 22 de la Convention auxquels s'applique la méthode d'imputation qui, d'une manière générale, a été retenue par la </w:t>
      </w:r>
      <w:r w:rsidRPr="00E1586A">
        <w:t>Lituanie</w:t>
      </w:r>
      <w:r w:rsidR="003462B6" w:rsidRPr="00E1586A">
        <w:t>.</w:t>
      </w:r>
    </w:p>
    <w:p w:rsidR="003462B6" w:rsidRPr="00E1586A" w:rsidRDefault="003462B6" w:rsidP="00E1586A">
      <w:pPr>
        <w:tabs>
          <w:tab w:val="left" w:pos="3810"/>
        </w:tabs>
        <w:jc w:val="both"/>
      </w:pPr>
    </w:p>
    <w:p w:rsidR="003462B6" w:rsidRPr="00E1586A" w:rsidRDefault="00B61372" w:rsidP="00E1586A">
      <w:pPr>
        <w:jc w:val="both"/>
      </w:pPr>
      <w:r w:rsidRPr="00E1586A">
        <w:t xml:space="preserve">9. </w:t>
      </w:r>
      <w:r w:rsidR="003462B6" w:rsidRPr="00E1586A">
        <w:t xml:space="preserve">Le modèle OCDE ne réserve quasi aucun développement à certaines entités ou situations qui intéressent particulièrement le Grand-Duché. Il s'agit surtout des organismes de placement collectif et des holdings. Suivant la Convention sous rubrique </w:t>
      </w:r>
      <w:r w:rsidR="003462B6" w:rsidRPr="00E1586A">
        <w:rPr>
          <w:i/>
        </w:rPr>
        <w:t xml:space="preserve">(article 29) </w:t>
      </w:r>
      <w:r w:rsidR="003462B6" w:rsidRPr="00E1586A">
        <w:t>sont explicitemen</w:t>
      </w:r>
      <w:r w:rsidR="0054245F">
        <w:t xml:space="preserve">t exclus du champ d'application, </w:t>
      </w:r>
      <w:r w:rsidR="003462B6" w:rsidRPr="00E1586A">
        <w:t>les sociétés holding régies par la loi du 31 juillet 1929 et l'arrêté grand-ducal du 17 décembre 1938,</w:t>
      </w:r>
      <w:r w:rsidR="0054245F">
        <w:t xml:space="preserve"> les </w:t>
      </w:r>
      <w:r w:rsidR="003462B6" w:rsidRPr="00E1586A">
        <w:t>autres sociétés luxembourgeoises et lituaniennes qui sont soumises dans les Etats contractants à une législation fiscale similaire à celle appliquée dans le cas des holdings et</w:t>
      </w:r>
      <w:r w:rsidR="0054245F">
        <w:t xml:space="preserve"> </w:t>
      </w:r>
      <w:r w:rsidR="003462B6" w:rsidRPr="00E1586A">
        <w:t>les revenus qu'un résident lituanien tire des sociétés précitées, ni les actions ou autres titres de capital.</w:t>
      </w:r>
    </w:p>
    <w:p w:rsidR="00143660" w:rsidRPr="00E1586A" w:rsidRDefault="00143660" w:rsidP="00E1586A">
      <w:pPr>
        <w:jc w:val="both"/>
      </w:pPr>
    </w:p>
    <w:sectPr w:rsidR="00143660" w:rsidRPr="00E1586A"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40A4">
      <w:r>
        <w:separator/>
      </w:r>
    </w:p>
  </w:endnote>
  <w:endnote w:type="continuationSeparator" w:id="0">
    <w:p w:rsidR="00000000" w:rsidRDefault="00E3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35" w:rsidRDefault="00377635"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77635" w:rsidRDefault="0037763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35" w:rsidRDefault="00377635"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7714D">
      <w:rPr>
        <w:rStyle w:val="Numrodepage"/>
        <w:noProof/>
      </w:rPr>
      <w:t>2</w:t>
    </w:r>
    <w:r>
      <w:rPr>
        <w:rStyle w:val="Numrodepage"/>
      </w:rPr>
      <w:fldChar w:fldCharType="end"/>
    </w:r>
  </w:p>
  <w:p w:rsidR="00377635" w:rsidRDefault="0037763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40A4">
      <w:r>
        <w:separator/>
      </w:r>
    </w:p>
  </w:footnote>
  <w:footnote w:type="continuationSeparator" w:id="0">
    <w:p w:rsidR="00000000" w:rsidRDefault="00E340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B551D"/>
    <w:multiLevelType w:val="multilevel"/>
    <w:tmpl w:val="F80C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60A4D"/>
    <w:multiLevelType w:val="hybridMultilevel"/>
    <w:tmpl w:val="BC9C2F4A"/>
    <w:lvl w:ilvl="0" w:tplc="18608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7305B3"/>
    <w:multiLevelType w:val="hybridMultilevel"/>
    <w:tmpl w:val="E55ED3CC"/>
    <w:lvl w:ilvl="0" w:tplc="1860833C">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8"/>
  </w:num>
  <w:num w:numId="8">
    <w:abstractNumId w:val="2"/>
  </w:num>
  <w:num w:numId="9">
    <w:abstractNumId w:val="9"/>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241E"/>
    <w:rsid w:val="00005608"/>
    <w:rsid w:val="00005C2C"/>
    <w:rsid w:val="00006DE3"/>
    <w:rsid w:val="000072D5"/>
    <w:rsid w:val="00007AA1"/>
    <w:rsid w:val="0001644D"/>
    <w:rsid w:val="000171F4"/>
    <w:rsid w:val="00020365"/>
    <w:rsid w:val="000220E2"/>
    <w:rsid w:val="00022185"/>
    <w:rsid w:val="00023B8A"/>
    <w:rsid w:val="0003088B"/>
    <w:rsid w:val="00030F97"/>
    <w:rsid w:val="000337ED"/>
    <w:rsid w:val="00036BA0"/>
    <w:rsid w:val="00036D0F"/>
    <w:rsid w:val="00042799"/>
    <w:rsid w:val="00043D3D"/>
    <w:rsid w:val="00046041"/>
    <w:rsid w:val="00054A1B"/>
    <w:rsid w:val="00055826"/>
    <w:rsid w:val="00055AC2"/>
    <w:rsid w:val="00060B36"/>
    <w:rsid w:val="00060D30"/>
    <w:rsid w:val="00060E6A"/>
    <w:rsid w:val="00061137"/>
    <w:rsid w:val="00067CCC"/>
    <w:rsid w:val="00074909"/>
    <w:rsid w:val="00075C7A"/>
    <w:rsid w:val="0008140E"/>
    <w:rsid w:val="000841B1"/>
    <w:rsid w:val="000851CA"/>
    <w:rsid w:val="00087274"/>
    <w:rsid w:val="00087477"/>
    <w:rsid w:val="000931A7"/>
    <w:rsid w:val="00096693"/>
    <w:rsid w:val="000975CD"/>
    <w:rsid w:val="000A3ABF"/>
    <w:rsid w:val="000A3C17"/>
    <w:rsid w:val="000A416B"/>
    <w:rsid w:val="000A5CC1"/>
    <w:rsid w:val="000A76BB"/>
    <w:rsid w:val="000B3F53"/>
    <w:rsid w:val="000B4603"/>
    <w:rsid w:val="000B6215"/>
    <w:rsid w:val="000B70B7"/>
    <w:rsid w:val="000B7918"/>
    <w:rsid w:val="000B7BBF"/>
    <w:rsid w:val="000C046C"/>
    <w:rsid w:val="000C1E7C"/>
    <w:rsid w:val="000C2541"/>
    <w:rsid w:val="000C42AD"/>
    <w:rsid w:val="000C5111"/>
    <w:rsid w:val="000C51C7"/>
    <w:rsid w:val="000D20D3"/>
    <w:rsid w:val="000D3A98"/>
    <w:rsid w:val="000D6A0A"/>
    <w:rsid w:val="000E6C67"/>
    <w:rsid w:val="000F0224"/>
    <w:rsid w:val="000F11FE"/>
    <w:rsid w:val="000F171B"/>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37CB9"/>
    <w:rsid w:val="00143660"/>
    <w:rsid w:val="00144478"/>
    <w:rsid w:val="001460E7"/>
    <w:rsid w:val="00156627"/>
    <w:rsid w:val="00162B91"/>
    <w:rsid w:val="00162F28"/>
    <w:rsid w:val="0016481C"/>
    <w:rsid w:val="001661CE"/>
    <w:rsid w:val="001719E7"/>
    <w:rsid w:val="0017405E"/>
    <w:rsid w:val="001747CF"/>
    <w:rsid w:val="00176280"/>
    <w:rsid w:val="0017714D"/>
    <w:rsid w:val="00177DCC"/>
    <w:rsid w:val="001800A1"/>
    <w:rsid w:val="001807CF"/>
    <w:rsid w:val="00180B64"/>
    <w:rsid w:val="00181F04"/>
    <w:rsid w:val="00184B55"/>
    <w:rsid w:val="00184F0B"/>
    <w:rsid w:val="00187296"/>
    <w:rsid w:val="00190930"/>
    <w:rsid w:val="001912FD"/>
    <w:rsid w:val="001929B0"/>
    <w:rsid w:val="00194B33"/>
    <w:rsid w:val="00196892"/>
    <w:rsid w:val="001A5299"/>
    <w:rsid w:val="001A6083"/>
    <w:rsid w:val="001B0301"/>
    <w:rsid w:val="001B08C8"/>
    <w:rsid w:val="001B3527"/>
    <w:rsid w:val="001B4C17"/>
    <w:rsid w:val="001B526F"/>
    <w:rsid w:val="001C15BF"/>
    <w:rsid w:val="001C383D"/>
    <w:rsid w:val="001D0B13"/>
    <w:rsid w:val="001D0B58"/>
    <w:rsid w:val="001D14D0"/>
    <w:rsid w:val="001D2CDF"/>
    <w:rsid w:val="001E0710"/>
    <w:rsid w:val="001E0B08"/>
    <w:rsid w:val="001E3417"/>
    <w:rsid w:val="001E688D"/>
    <w:rsid w:val="001F0AFF"/>
    <w:rsid w:val="001F2A21"/>
    <w:rsid w:val="001F5404"/>
    <w:rsid w:val="0020593B"/>
    <w:rsid w:val="00211367"/>
    <w:rsid w:val="002119C8"/>
    <w:rsid w:val="00212102"/>
    <w:rsid w:val="002130B9"/>
    <w:rsid w:val="00214134"/>
    <w:rsid w:val="00215424"/>
    <w:rsid w:val="00215F1F"/>
    <w:rsid w:val="002161AE"/>
    <w:rsid w:val="00220020"/>
    <w:rsid w:val="002235C8"/>
    <w:rsid w:val="00224810"/>
    <w:rsid w:val="00225C9B"/>
    <w:rsid w:val="00226D0F"/>
    <w:rsid w:val="00235F06"/>
    <w:rsid w:val="002522B6"/>
    <w:rsid w:val="002574D6"/>
    <w:rsid w:val="00257799"/>
    <w:rsid w:val="00263AD0"/>
    <w:rsid w:val="00265737"/>
    <w:rsid w:val="002658AC"/>
    <w:rsid w:val="00266440"/>
    <w:rsid w:val="00267116"/>
    <w:rsid w:val="00267D88"/>
    <w:rsid w:val="00270386"/>
    <w:rsid w:val="002717FD"/>
    <w:rsid w:val="00275F54"/>
    <w:rsid w:val="00285791"/>
    <w:rsid w:val="00287152"/>
    <w:rsid w:val="00287608"/>
    <w:rsid w:val="00287FBB"/>
    <w:rsid w:val="00291898"/>
    <w:rsid w:val="00295BE5"/>
    <w:rsid w:val="002969A7"/>
    <w:rsid w:val="00297FF6"/>
    <w:rsid w:val="002A4560"/>
    <w:rsid w:val="002A75E8"/>
    <w:rsid w:val="002B1983"/>
    <w:rsid w:val="002B33F1"/>
    <w:rsid w:val="002B5780"/>
    <w:rsid w:val="002B5E59"/>
    <w:rsid w:val="002B5F8E"/>
    <w:rsid w:val="002C40F6"/>
    <w:rsid w:val="002C5C68"/>
    <w:rsid w:val="002C62F1"/>
    <w:rsid w:val="002D7D9E"/>
    <w:rsid w:val="002E43AB"/>
    <w:rsid w:val="002E73EE"/>
    <w:rsid w:val="002E7C9A"/>
    <w:rsid w:val="002F3813"/>
    <w:rsid w:val="002F3C16"/>
    <w:rsid w:val="002F435D"/>
    <w:rsid w:val="002F43C1"/>
    <w:rsid w:val="002F57D7"/>
    <w:rsid w:val="002F78DA"/>
    <w:rsid w:val="003026DE"/>
    <w:rsid w:val="00303108"/>
    <w:rsid w:val="0030697C"/>
    <w:rsid w:val="00310A3D"/>
    <w:rsid w:val="00310FC9"/>
    <w:rsid w:val="00313011"/>
    <w:rsid w:val="00313CA9"/>
    <w:rsid w:val="00314A9C"/>
    <w:rsid w:val="00315BEA"/>
    <w:rsid w:val="00315EA2"/>
    <w:rsid w:val="00320A0F"/>
    <w:rsid w:val="00320B32"/>
    <w:rsid w:val="00321D1D"/>
    <w:rsid w:val="00323311"/>
    <w:rsid w:val="00326FB5"/>
    <w:rsid w:val="0032761A"/>
    <w:rsid w:val="00332095"/>
    <w:rsid w:val="00332968"/>
    <w:rsid w:val="00337E0B"/>
    <w:rsid w:val="003402FC"/>
    <w:rsid w:val="00342C93"/>
    <w:rsid w:val="00342EF0"/>
    <w:rsid w:val="00344669"/>
    <w:rsid w:val="003460FE"/>
    <w:rsid w:val="003462B6"/>
    <w:rsid w:val="0035699E"/>
    <w:rsid w:val="00357B4F"/>
    <w:rsid w:val="00365AE1"/>
    <w:rsid w:val="0037372F"/>
    <w:rsid w:val="00373F64"/>
    <w:rsid w:val="0037508D"/>
    <w:rsid w:val="0037547F"/>
    <w:rsid w:val="003755C1"/>
    <w:rsid w:val="003775EB"/>
    <w:rsid w:val="00377635"/>
    <w:rsid w:val="0038497A"/>
    <w:rsid w:val="00386D2E"/>
    <w:rsid w:val="00386FFF"/>
    <w:rsid w:val="0039108F"/>
    <w:rsid w:val="00393A2D"/>
    <w:rsid w:val="003A0AA0"/>
    <w:rsid w:val="003A2032"/>
    <w:rsid w:val="003A2EB0"/>
    <w:rsid w:val="003A2F59"/>
    <w:rsid w:val="003A4B7E"/>
    <w:rsid w:val="003A72B2"/>
    <w:rsid w:val="003B2D0C"/>
    <w:rsid w:val="003B3FD2"/>
    <w:rsid w:val="003B5644"/>
    <w:rsid w:val="003B6BAC"/>
    <w:rsid w:val="003C2424"/>
    <w:rsid w:val="003C3827"/>
    <w:rsid w:val="003C3B56"/>
    <w:rsid w:val="003C4DDC"/>
    <w:rsid w:val="003C50C0"/>
    <w:rsid w:val="003C6185"/>
    <w:rsid w:val="003D0962"/>
    <w:rsid w:val="003D363E"/>
    <w:rsid w:val="003D3A6E"/>
    <w:rsid w:val="003D7CF2"/>
    <w:rsid w:val="003E1789"/>
    <w:rsid w:val="003F6BD2"/>
    <w:rsid w:val="00400FF9"/>
    <w:rsid w:val="004034C9"/>
    <w:rsid w:val="00410CF3"/>
    <w:rsid w:val="00410DEB"/>
    <w:rsid w:val="004131C8"/>
    <w:rsid w:val="00414F46"/>
    <w:rsid w:val="00415BD8"/>
    <w:rsid w:val="00416674"/>
    <w:rsid w:val="004166CB"/>
    <w:rsid w:val="004222C1"/>
    <w:rsid w:val="004227BF"/>
    <w:rsid w:val="004232BE"/>
    <w:rsid w:val="00424DB9"/>
    <w:rsid w:val="0042623A"/>
    <w:rsid w:val="00433062"/>
    <w:rsid w:val="004356F2"/>
    <w:rsid w:val="004379CC"/>
    <w:rsid w:val="004425E8"/>
    <w:rsid w:val="0044464C"/>
    <w:rsid w:val="0045024A"/>
    <w:rsid w:val="00452A82"/>
    <w:rsid w:val="00456445"/>
    <w:rsid w:val="00462672"/>
    <w:rsid w:val="004638ED"/>
    <w:rsid w:val="00463EAF"/>
    <w:rsid w:val="004649D0"/>
    <w:rsid w:val="00465623"/>
    <w:rsid w:val="00465783"/>
    <w:rsid w:val="00476211"/>
    <w:rsid w:val="00482B50"/>
    <w:rsid w:val="004A1F72"/>
    <w:rsid w:val="004A40D7"/>
    <w:rsid w:val="004A6871"/>
    <w:rsid w:val="004A7722"/>
    <w:rsid w:val="004B432F"/>
    <w:rsid w:val="004B7418"/>
    <w:rsid w:val="004C3362"/>
    <w:rsid w:val="004C3CB2"/>
    <w:rsid w:val="004C3CF7"/>
    <w:rsid w:val="004C3DDE"/>
    <w:rsid w:val="004C54AA"/>
    <w:rsid w:val="004C580B"/>
    <w:rsid w:val="004C5D52"/>
    <w:rsid w:val="004D0163"/>
    <w:rsid w:val="004D73F6"/>
    <w:rsid w:val="004E05CA"/>
    <w:rsid w:val="004E0C73"/>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22C5F"/>
    <w:rsid w:val="00530D84"/>
    <w:rsid w:val="0054245F"/>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993"/>
    <w:rsid w:val="00587896"/>
    <w:rsid w:val="00593A45"/>
    <w:rsid w:val="00596CBB"/>
    <w:rsid w:val="00596FD0"/>
    <w:rsid w:val="00597525"/>
    <w:rsid w:val="005A16CE"/>
    <w:rsid w:val="005A1D03"/>
    <w:rsid w:val="005A204F"/>
    <w:rsid w:val="005A3BEE"/>
    <w:rsid w:val="005A6994"/>
    <w:rsid w:val="005A6AB7"/>
    <w:rsid w:val="005A784C"/>
    <w:rsid w:val="005B0E2B"/>
    <w:rsid w:val="005B41CF"/>
    <w:rsid w:val="005C1191"/>
    <w:rsid w:val="005C11CB"/>
    <w:rsid w:val="005C4348"/>
    <w:rsid w:val="005C4C6F"/>
    <w:rsid w:val="005D05EE"/>
    <w:rsid w:val="005D11F5"/>
    <w:rsid w:val="005D21DC"/>
    <w:rsid w:val="005D3117"/>
    <w:rsid w:val="005E4EE7"/>
    <w:rsid w:val="005F23A0"/>
    <w:rsid w:val="005F5D74"/>
    <w:rsid w:val="005F637C"/>
    <w:rsid w:val="005F7C99"/>
    <w:rsid w:val="006047F1"/>
    <w:rsid w:val="00604B77"/>
    <w:rsid w:val="00604E2E"/>
    <w:rsid w:val="00605C56"/>
    <w:rsid w:val="00606BEF"/>
    <w:rsid w:val="0060722B"/>
    <w:rsid w:val="006120A8"/>
    <w:rsid w:val="006134A1"/>
    <w:rsid w:val="00617909"/>
    <w:rsid w:val="006213FC"/>
    <w:rsid w:val="006222CC"/>
    <w:rsid w:val="00634F4C"/>
    <w:rsid w:val="00636BF8"/>
    <w:rsid w:val="00640FF7"/>
    <w:rsid w:val="006430C0"/>
    <w:rsid w:val="006453C8"/>
    <w:rsid w:val="006457C7"/>
    <w:rsid w:val="00647035"/>
    <w:rsid w:val="006522F8"/>
    <w:rsid w:val="006534B7"/>
    <w:rsid w:val="00654010"/>
    <w:rsid w:val="00655E65"/>
    <w:rsid w:val="00656122"/>
    <w:rsid w:val="0066051D"/>
    <w:rsid w:val="0066188C"/>
    <w:rsid w:val="00663E7E"/>
    <w:rsid w:val="00663EFB"/>
    <w:rsid w:val="006667FF"/>
    <w:rsid w:val="0067149B"/>
    <w:rsid w:val="00672030"/>
    <w:rsid w:val="006761F2"/>
    <w:rsid w:val="006828E6"/>
    <w:rsid w:val="006846C6"/>
    <w:rsid w:val="00696300"/>
    <w:rsid w:val="006A5241"/>
    <w:rsid w:val="006A6086"/>
    <w:rsid w:val="006A6972"/>
    <w:rsid w:val="006A6BB3"/>
    <w:rsid w:val="006B0752"/>
    <w:rsid w:val="006B2E11"/>
    <w:rsid w:val="006B69BE"/>
    <w:rsid w:val="006B6C65"/>
    <w:rsid w:val="006C126D"/>
    <w:rsid w:val="006C66C8"/>
    <w:rsid w:val="006C6B70"/>
    <w:rsid w:val="006D4151"/>
    <w:rsid w:val="006D5533"/>
    <w:rsid w:val="006E027C"/>
    <w:rsid w:val="006E453E"/>
    <w:rsid w:val="006F13A6"/>
    <w:rsid w:val="006F1709"/>
    <w:rsid w:val="006F38E7"/>
    <w:rsid w:val="006F39F6"/>
    <w:rsid w:val="00700132"/>
    <w:rsid w:val="00700C90"/>
    <w:rsid w:val="007048C4"/>
    <w:rsid w:val="00711C52"/>
    <w:rsid w:val="00714949"/>
    <w:rsid w:val="00716140"/>
    <w:rsid w:val="00716A2B"/>
    <w:rsid w:val="007206EF"/>
    <w:rsid w:val="00720CE3"/>
    <w:rsid w:val="0072398F"/>
    <w:rsid w:val="00726A58"/>
    <w:rsid w:val="00731131"/>
    <w:rsid w:val="007330B9"/>
    <w:rsid w:val="00741F6B"/>
    <w:rsid w:val="007434C9"/>
    <w:rsid w:val="00745190"/>
    <w:rsid w:val="007462D3"/>
    <w:rsid w:val="007467F6"/>
    <w:rsid w:val="00752518"/>
    <w:rsid w:val="00754A4D"/>
    <w:rsid w:val="00754FD5"/>
    <w:rsid w:val="00756432"/>
    <w:rsid w:val="007577F9"/>
    <w:rsid w:val="00760C1F"/>
    <w:rsid w:val="00760FBC"/>
    <w:rsid w:val="00773BC1"/>
    <w:rsid w:val="00777C3F"/>
    <w:rsid w:val="00791290"/>
    <w:rsid w:val="00791FF6"/>
    <w:rsid w:val="00794C2F"/>
    <w:rsid w:val="00794D5D"/>
    <w:rsid w:val="00796310"/>
    <w:rsid w:val="0079777F"/>
    <w:rsid w:val="007A0371"/>
    <w:rsid w:val="007A1059"/>
    <w:rsid w:val="007A1F9F"/>
    <w:rsid w:val="007A2425"/>
    <w:rsid w:val="007B1494"/>
    <w:rsid w:val="007B23A4"/>
    <w:rsid w:val="007B3845"/>
    <w:rsid w:val="007B7139"/>
    <w:rsid w:val="007D3547"/>
    <w:rsid w:val="007D455C"/>
    <w:rsid w:val="007D4EC1"/>
    <w:rsid w:val="007D53F3"/>
    <w:rsid w:val="007E3CC7"/>
    <w:rsid w:val="007E495D"/>
    <w:rsid w:val="007E4DCA"/>
    <w:rsid w:val="007E51C5"/>
    <w:rsid w:val="007E5D4D"/>
    <w:rsid w:val="007E7FD3"/>
    <w:rsid w:val="007F0634"/>
    <w:rsid w:val="007F4544"/>
    <w:rsid w:val="00803025"/>
    <w:rsid w:val="00804671"/>
    <w:rsid w:val="00804A34"/>
    <w:rsid w:val="00805229"/>
    <w:rsid w:val="00805C38"/>
    <w:rsid w:val="00806915"/>
    <w:rsid w:val="008127F3"/>
    <w:rsid w:val="00815E09"/>
    <w:rsid w:val="00824DA0"/>
    <w:rsid w:val="00825E9C"/>
    <w:rsid w:val="008271AE"/>
    <w:rsid w:val="00837BA9"/>
    <w:rsid w:val="0084428B"/>
    <w:rsid w:val="008455FD"/>
    <w:rsid w:val="00847A6E"/>
    <w:rsid w:val="008537C9"/>
    <w:rsid w:val="0085566E"/>
    <w:rsid w:val="00856ED0"/>
    <w:rsid w:val="00860572"/>
    <w:rsid w:val="00861296"/>
    <w:rsid w:val="008621B5"/>
    <w:rsid w:val="00863CDF"/>
    <w:rsid w:val="00870222"/>
    <w:rsid w:val="00871A05"/>
    <w:rsid w:val="008829FE"/>
    <w:rsid w:val="00882A80"/>
    <w:rsid w:val="008865F0"/>
    <w:rsid w:val="008915D3"/>
    <w:rsid w:val="0089278C"/>
    <w:rsid w:val="00895971"/>
    <w:rsid w:val="008A3114"/>
    <w:rsid w:val="008A4465"/>
    <w:rsid w:val="008A4985"/>
    <w:rsid w:val="008A57DA"/>
    <w:rsid w:val="008A66AF"/>
    <w:rsid w:val="008A7F40"/>
    <w:rsid w:val="008B0834"/>
    <w:rsid w:val="008B3120"/>
    <w:rsid w:val="008B350E"/>
    <w:rsid w:val="008B3D5A"/>
    <w:rsid w:val="008B41AD"/>
    <w:rsid w:val="008B4B73"/>
    <w:rsid w:val="008C3B9E"/>
    <w:rsid w:val="008C6410"/>
    <w:rsid w:val="008C6C73"/>
    <w:rsid w:val="008C71C5"/>
    <w:rsid w:val="008D4599"/>
    <w:rsid w:val="008E69E5"/>
    <w:rsid w:val="008F4447"/>
    <w:rsid w:val="008F66E6"/>
    <w:rsid w:val="00900D20"/>
    <w:rsid w:val="00903016"/>
    <w:rsid w:val="0090572B"/>
    <w:rsid w:val="0090585F"/>
    <w:rsid w:val="0090777C"/>
    <w:rsid w:val="009135EE"/>
    <w:rsid w:val="009138F0"/>
    <w:rsid w:val="0092218E"/>
    <w:rsid w:val="00924345"/>
    <w:rsid w:val="00926694"/>
    <w:rsid w:val="00926BFC"/>
    <w:rsid w:val="009270B6"/>
    <w:rsid w:val="009273D6"/>
    <w:rsid w:val="009304E9"/>
    <w:rsid w:val="00931CB4"/>
    <w:rsid w:val="00932074"/>
    <w:rsid w:val="009333A5"/>
    <w:rsid w:val="0093398B"/>
    <w:rsid w:val="0093614D"/>
    <w:rsid w:val="0093749E"/>
    <w:rsid w:val="009405FA"/>
    <w:rsid w:val="00940CB0"/>
    <w:rsid w:val="009421E7"/>
    <w:rsid w:val="00942B0B"/>
    <w:rsid w:val="00944F58"/>
    <w:rsid w:val="00951085"/>
    <w:rsid w:val="0095126B"/>
    <w:rsid w:val="00951A5B"/>
    <w:rsid w:val="00953953"/>
    <w:rsid w:val="0095462D"/>
    <w:rsid w:val="00954EB2"/>
    <w:rsid w:val="00955AF1"/>
    <w:rsid w:val="00963107"/>
    <w:rsid w:val="00963956"/>
    <w:rsid w:val="0097210C"/>
    <w:rsid w:val="0097324D"/>
    <w:rsid w:val="009735AC"/>
    <w:rsid w:val="00974CE1"/>
    <w:rsid w:val="00974E1D"/>
    <w:rsid w:val="00977599"/>
    <w:rsid w:val="0098006F"/>
    <w:rsid w:val="0098091B"/>
    <w:rsid w:val="00981088"/>
    <w:rsid w:val="00982BCE"/>
    <w:rsid w:val="00984ECF"/>
    <w:rsid w:val="009866D6"/>
    <w:rsid w:val="009877A5"/>
    <w:rsid w:val="0099309E"/>
    <w:rsid w:val="00995EF0"/>
    <w:rsid w:val="009963B1"/>
    <w:rsid w:val="009A28D9"/>
    <w:rsid w:val="009A4322"/>
    <w:rsid w:val="009A5075"/>
    <w:rsid w:val="009A66C9"/>
    <w:rsid w:val="009A69D4"/>
    <w:rsid w:val="009B5E46"/>
    <w:rsid w:val="009B6619"/>
    <w:rsid w:val="009B7C3C"/>
    <w:rsid w:val="009B7F35"/>
    <w:rsid w:val="009C2143"/>
    <w:rsid w:val="009C37BB"/>
    <w:rsid w:val="009D0CF3"/>
    <w:rsid w:val="009D41D0"/>
    <w:rsid w:val="009D56D7"/>
    <w:rsid w:val="009D6760"/>
    <w:rsid w:val="009E25DB"/>
    <w:rsid w:val="009E36B4"/>
    <w:rsid w:val="009E5635"/>
    <w:rsid w:val="009E5BDA"/>
    <w:rsid w:val="009E63C3"/>
    <w:rsid w:val="009F40DA"/>
    <w:rsid w:val="009F46D9"/>
    <w:rsid w:val="009F64D1"/>
    <w:rsid w:val="009F7073"/>
    <w:rsid w:val="00A02B69"/>
    <w:rsid w:val="00A12268"/>
    <w:rsid w:val="00A16D6F"/>
    <w:rsid w:val="00A16F44"/>
    <w:rsid w:val="00A1751A"/>
    <w:rsid w:val="00A179A4"/>
    <w:rsid w:val="00A31E6E"/>
    <w:rsid w:val="00A32689"/>
    <w:rsid w:val="00A345ED"/>
    <w:rsid w:val="00A369A8"/>
    <w:rsid w:val="00A36C6A"/>
    <w:rsid w:val="00A43828"/>
    <w:rsid w:val="00A45773"/>
    <w:rsid w:val="00A473D9"/>
    <w:rsid w:val="00A50572"/>
    <w:rsid w:val="00A52645"/>
    <w:rsid w:val="00A52AB6"/>
    <w:rsid w:val="00A5358E"/>
    <w:rsid w:val="00A54282"/>
    <w:rsid w:val="00A56D4E"/>
    <w:rsid w:val="00A6059B"/>
    <w:rsid w:val="00A7132A"/>
    <w:rsid w:val="00A7419F"/>
    <w:rsid w:val="00A76A35"/>
    <w:rsid w:val="00A81674"/>
    <w:rsid w:val="00A86BF6"/>
    <w:rsid w:val="00A918EC"/>
    <w:rsid w:val="00A93783"/>
    <w:rsid w:val="00A93C0A"/>
    <w:rsid w:val="00A948B1"/>
    <w:rsid w:val="00A95EA1"/>
    <w:rsid w:val="00A97375"/>
    <w:rsid w:val="00AA4468"/>
    <w:rsid w:val="00AA5592"/>
    <w:rsid w:val="00AB02DA"/>
    <w:rsid w:val="00AB0C7D"/>
    <w:rsid w:val="00AB2774"/>
    <w:rsid w:val="00AB6FFF"/>
    <w:rsid w:val="00AC142C"/>
    <w:rsid w:val="00AC3701"/>
    <w:rsid w:val="00AC57F5"/>
    <w:rsid w:val="00AD11F9"/>
    <w:rsid w:val="00AD1BF1"/>
    <w:rsid w:val="00AD2460"/>
    <w:rsid w:val="00AD2B0C"/>
    <w:rsid w:val="00AD4E7C"/>
    <w:rsid w:val="00AE4194"/>
    <w:rsid w:val="00AF4272"/>
    <w:rsid w:val="00AF4AE0"/>
    <w:rsid w:val="00AF5833"/>
    <w:rsid w:val="00AF5E13"/>
    <w:rsid w:val="00AF762D"/>
    <w:rsid w:val="00B0145B"/>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7666"/>
    <w:rsid w:val="00B61372"/>
    <w:rsid w:val="00B646F7"/>
    <w:rsid w:val="00B6744D"/>
    <w:rsid w:val="00B75DD9"/>
    <w:rsid w:val="00B80F5B"/>
    <w:rsid w:val="00B84ECC"/>
    <w:rsid w:val="00B87479"/>
    <w:rsid w:val="00B92367"/>
    <w:rsid w:val="00B9375F"/>
    <w:rsid w:val="00B969F5"/>
    <w:rsid w:val="00B970BE"/>
    <w:rsid w:val="00BA079A"/>
    <w:rsid w:val="00BA369D"/>
    <w:rsid w:val="00BB078A"/>
    <w:rsid w:val="00BB10D7"/>
    <w:rsid w:val="00BB6EA8"/>
    <w:rsid w:val="00BC08BD"/>
    <w:rsid w:val="00BC1970"/>
    <w:rsid w:val="00BC37E1"/>
    <w:rsid w:val="00BC3AAF"/>
    <w:rsid w:val="00BC43AE"/>
    <w:rsid w:val="00BC53E1"/>
    <w:rsid w:val="00BC62C2"/>
    <w:rsid w:val="00BC7D18"/>
    <w:rsid w:val="00BD1F51"/>
    <w:rsid w:val="00BD3AAE"/>
    <w:rsid w:val="00BD3E29"/>
    <w:rsid w:val="00BD44A3"/>
    <w:rsid w:val="00BD4B83"/>
    <w:rsid w:val="00BD4E78"/>
    <w:rsid w:val="00BD7D3A"/>
    <w:rsid w:val="00BE3D49"/>
    <w:rsid w:val="00BE6544"/>
    <w:rsid w:val="00BF66D0"/>
    <w:rsid w:val="00BF6E18"/>
    <w:rsid w:val="00C0448B"/>
    <w:rsid w:val="00C04840"/>
    <w:rsid w:val="00C06B32"/>
    <w:rsid w:val="00C11300"/>
    <w:rsid w:val="00C126BF"/>
    <w:rsid w:val="00C13411"/>
    <w:rsid w:val="00C13656"/>
    <w:rsid w:val="00C17AC7"/>
    <w:rsid w:val="00C2249C"/>
    <w:rsid w:val="00C31564"/>
    <w:rsid w:val="00C31716"/>
    <w:rsid w:val="00C32064"/>
    <w:rsid w:val="00C3210D"/>
    <w:rsid w:val="00C32DFE"/>
    <w:rsid w:val="00C33141"/>
    <w:rsid w:val="00C33A2B"/>
    <w:rsid w:val="00C33D4C"/>
    <w:rsid w:val="00C36066"/>
    <w:rsid w:val="00C46B0F"/>
    <w:rsid w:val="00C52E77"/>
    <w:rsid w:val="00C55FA7"/>
    <w:rsid w:val="00C57410"/>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93AA0"/>
    <w:rsid w:val="00CA2605"/>
    <w:rsid w:val="00CA3E42"/>
    <w:rsid w:val="00CA60AF"/>
    <w:rsid w:val="00CA6808"/>
    <w:rsid w:val="00CB043D"/>
    <w:rsid w:val="00CB1F64"/>
    <w:rsid w:val="00CB3CC3"/>
    <w:rsid w:val="00CB403C"/>
    <w:rsid w:val="00CB75A9"/>
    <w:rsid w:val="00CC03EF"/>
    <w:rsid w:val="00CC1B7B"/>
    <w:rsid w:val="00CC2799"/>
    <w:rsid w:val="00CC47AB"/>
    <w:rsid w:val="00CC4D5C"/>
    <w:rsid w:val="00CC5E5F"/>
    <w:rsid w:val="00CC6A06"/>
    <w:rsid w:val="00CD0592"/>
    <w:rsid w:val="00CD2DC9"/>
    <w:rsid w:val="00CD3B9A"/>
    <w:rsid w:val="00CD4F7B"/>
    <w:rsid w:val="00CD5872"/>
    <w:rsid w:val="00CD6C61"/>
    <w:rsid w:val="00CD6C78"/>
    <w:rsid w:val="00CD6CA1"/>
    <w:rsid w:val="00CE03EC"/>
    <w:rsid w:val="00CE3BA6"/>
    <w:rsid w:val="00CE4C91"/>
    <w:rsid w:val="00CE5665"/>
    <w:rsid w:val="00CF7705"/>
    <w:rsid w:val="00D0051A"/>
    <w:rsid w:val="00D0277C"/>
    <w:rsid w:val="00D02AAD"/>
    <w:rsid w:val="00D03BAE"/>
    <w:rsid w:val="00D04023"/>
    <w:rsid w:val="00D06751"/>
    <w:rsid w:val="00D0734C"/>
    <w:rsid w:val="00D142EA"/>
    <w:rsid w:val="00D14D2D"/>
    <w:rsid w:val="00D16E67"/>
    <w:rsid w:val="00D20B5F"/>
    <w:rsid w:val="00D20BF8"/>
    <w:rsid w:val="00D22E64"/>
    <w:rsid w:val="00D22E72"/>
    <w:rsid w:val="00D234F9"/>
    <w:rsid w:val="00D2518C"/>
    <w:rsid w:val="00D32412"/>
    <w:rsid w:val="00D41599"/>
    <w:rsid w:val="00D45283"/>
    <w:rsid w:val="00D46E9E"/>
    <w:rsid w:val="00D47E3B"/>
    <w:rsid w:val="00D5057F"/>
    <w:rsid w:val="00D51944"/>
    <w:rsid w:val="00D54FDB"/>
    <w:rsid w:val="00D558D7"/>
    <w:rsid w:val="00D56950"/>
    <w:rsid w:val="00D60C02"/>
    <w:rsid w:val="00D6413E"/>
    <w:rsid w:val="00D64BE7"/>
    <w:rsid w:val="00D65C77"/>
    <w:rsid w:val="00D66108"/>
    <w:rsid w:val="00D67666"/>
    <w:rsid w:val="00D745C7"/>
    <w:rsid w:val="00D77BFD"/>
    <w:rsid w:val="00D77D6C"/>
    <w:rsid w:val="00D82C73"/>
    <w:rsid w:val="00D838D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D115B"/>
    <w:rsid w:val="00DD1A5D"/>
    <w:rsid w:val="00DD74A4"/>
    <w:rsid w:val="00DE2AEC"/>
    <w:rsid w:val="00DE31AE"/>
    <w:rsid w:val="00DE4600"/>
    <w:rsid w:val="00DE4DFE"/>
    <w:rsid w:val="00DF07ED"/>
    <w:rsid w:val="00DF2F37"/>
    <w:rsid w:val="00DF3A4C"/>
    <w:rsid w:val="00DF4B87"/>
    <w:rsid w:val="00E007F7"/>
    <w:rsid w:val="00E00FA0"/>
    <w:rsid w:val="00E022CC"/>
    <w:rsid w:val="00E05277"/>
    <w:rsid w:val="00E05CFD"/>
    <w:rsid w:val="00E07667"/>
    <w:rsid w:val="00E07B15"/>
    <w:rsid w:val="00E1078C"/>
    <w:rsid w:val="00E11174"/>
    <w:rsid w:val="00E11AA3"/>
    <w:rsid w:val="00E13BD1"/>
    <w:rsid w:val="00E13D9C"/>
    <w:rsid w:val="00E14474"/>
    <w:rsid w:val="00E153AB"/>
    <w:rsid w:val="00E1586A"/>
    <w:rsid w:val="00E16999"/>
    <w:rsid w:val="00E16E57"/>
    <w:rsid w:val="00E210C0"/>
    <w:rsid w:val="00E25C85"/>
    <w:rsid w:val="00E26EC7"/>
    <w:rsid w:val="00E27150"/>
    <w:rsid w:val="00E27FF6"/>
    <w:rsid w:val="00E32C0B"/>
    <w:rsid w:val="00E340A4"/>
    <w:rsid w:val="00E35C2E"/>
    <w:rsid w:val="00E37D5A"/>
    <w:rsid w:val="00E37DDF"/>
    <w:rsid w:val="00E4005F"/>
    <w:rsid w:val="00E414CD"/>
    <w:rsid w:val="00E42902"/>
    <w:rsid w:val="00E43188"/>
    <w:rsid w:val="00E447E5"/>
    <w:rsid w:val="00E44CD8"/>
    <w:rsid w:val="00E45C59"/>
    <w:rsid w:val="00E45FE7"/>
    <w:rsid w:val="00E502A6"/>
    <w:rsid w:val="00E50D0E"/>
    <w:rsid w:val="00E541A6"/>
    <w:rsid w:val="00E55BC0"/>
    <w:rsid w:val="00E572A2"/>
    <w:rsid w:val="00E57A28"/>
    <w:rsid w:val="00E6120C"/>
    <w:rsid w:val="00E61EFF"/>
    <w:rsid w:val="00E6223E"/>
    <w:rsid w:val="00E62812"/>
    <w:rsid w:val="00E64F50"/>
    <w:rsid w:val="00E70FB4"/>
    <w:rsid w:val="00E716AA"/>
    <w:rsid w:val="00E8003A"/>
    <w:rsid w:val="00E80587"/>
    <w:rsid w:val="00E861B8"/>
    <w:rsid w:val="00E919D3"/>
    <w:rsid w:val="00E9591B"/>
    <w:rsid w:val="00E979C3"/>
    <w:rsid w:val="00EA2043"/>
    <w:rsid w:val="00EA224C"/>
    <w:rsid w:val="00EA3E69"/>
    <w:rsid w:val="00EB59BA"/>
    <w:rsid w:val="00EB6C92"/>
    <w:rsid w:val="00EC22A4"/>
    <w:rsid w:val="00EC2340"/>
    <w:rsid w:val="00EC7B9B"/>
    <w:rsid w:val="00ED16FA"/>
    <w:rsid w:val="00ED23AC"/>
    <w:rsid w:val="00ED325B"/>
    <w:rsid w:val="00ED3D44"/>
    <w:rsid w:val="00EE01E2"/>
    <w:rsid w:val="00EE5181"/>
    <w:rsid w:val="00EF43E3"/>
    <w:rsid w:val="00EF49B3"/>
    <w:rsid w:val="00F00FC7"/>
    <w:rsid w:val="00F01641"/>
    <w:rsid w:val="00F01821"/>
    <w:rsid w:val="00F12DA1"/>
    <w:rsid w:val="00F168D7"/>
    <w:rsid w:val="00F20664"/>
    <w:rsid w:val="00F23461"/>
    <w:rsid w:val="00F255B8"/>
    <w:rsid w:val="00F31827"/>
    <w:rsid w:val="00F318F0"/>
    <w:rsid w:val="00F33D86"/>
    <w:rsid w:val="00F34FF1"/>
    <w:rsid w:val="00F37857"/>
    <w:rsid w:val="00F404E5"/>
    <w:rsid w:val="00F41C18"/>
    <w:rsid w:val="00F42831"/>
    <w:rsid w:val="00F4447F"/>
    <w:rsid w:val="00F45DA2"/>
    <w:rsid w:val="00F476CD"/>
    <w:rsid w:val="00F5167B"/>
    <w:rsid w:val="00F53D3F"/>
    <w:rsid w:val="00F573F4"/>
    <w:rsid w:val="00F5743F"/>
    <w:rsid w:val="00F63C95"/>
    <w:rsid w:val="00F72C15"/>
    <w:rsid w:val="00F7482D"/>
    <w:rsid w:val="00F77DE9"/>
    <w:rsid w:val="00F81A9B"/>
    <w:rsid w:val="00F862B5"/>
    <w:rsid w:val="00F865A7"/>
    <w:rsid w:val="00F91C42"/>
    <w:rsid w:val="00F92D29"/>
    <w:rsid w:val="00F97C41"/>
    <w:rsid w:val="00FA345C"/>
    <w:rsid w:val="00FA76AC"/>
    <w:rsid w:val="00FA7C6B"/>
    <w:rsid w:val="00FA7CA9"/>
    <w:rsid w:val="00FB1891"/>
    <w:rsid w:val="00FB2AB0"/>
    <w:rsid w:val="00FB5B0A"/>
    <w:rsid w:val="00FB6823"/>
    <w:rsid w:val="00FC2E2C"/>
    <w:rsid w:val="00FC2EC8"/>
    <w:rsid w:val="00FC3B46"/>
    <w:rsid w:val="00FC75DD"/>
    <w:rsid w:val="00FD033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1C9FA0C-0152-4C5F-9E39-CD30CB79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ienhypertexte">
    <w:name w:val="Hyperlink"/>
    <w:basedOn w:val="Policepardfaut"/>
    <w:rsid w:val="00870222"/>
    <w:rPr>
      <w:color w:val="0000FF"/>
      <w:u w:val="single"/>
    </w:rPr>
  </w:style>
  <w:style w:type="character" w:customStyle="1" w:styleId="romain1">
    <w:name w:val="romain1"/>
    <w:basedOn w:val="Policepardfaut"/>
    <w:rsid w:val="00870222"/>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99632">
      <w:bodyDiv w:val="1"/>
      <w:marLeft w:val="0"/>
      <w:marRight w:val="0"/>
      <w:marTop w:val="0"/>
      <w:marBottom w:val="0"/>
      <w:divBdr>
        <w:top w:val="none" w:sz="0" w:space="0" w:color="auto"/>
        <w:left w:val="none" w:sz="0" w:space="0" w:color="auto"/>
        <w:bottom w:val="none" w:sz="0" w:space="0" w:color="auto"/>
        <w:right w:val="none" w:sz="0" w:space="0" w:color="auto"/>
      </w:divBdr>
    </w:div>
    <w:div w:id="533008279">
      <w:bodyDiv w:val="1"/>
      <w:marLeft w:val="0"/>
      <w:marRight w:val="0"/>
      <w:marTop w:val="0"/>
      <w:marBottom w:val="0"/>
      <w:divBdr>
        <w:top w:val="none" w:sz="0" w:space="0" w:color="auto"/>
        <w:left w:val="none" w:sz="0" w:space="0" w:color="auto"/>
        <w:bottom w:val="none" w:sz="0" w:space="0" w:color="auto"/>
        <w:right w:val="none" w:sz="0" w:space="0" w:color="auto"/>
      </w:divBdr>
    </w:div>
    <w:div w:id="1320110891">
      <w:bodyDiv w:val="1"/>
      <w:marLeft w:val="0"/>
      <w:marRight w:val="0"/>
      <w:marTop w:val="0"/>
      <w:marBottom w:val="0"/>
      <w:divBdr>
        <w:top w:val="none" w:sz="0" w:space="0" w:color="auto"/>
        <w:left w:val="none" w:sz="0" w:space="0" w:color="auto"/>
        <w:bottom w:val="none" w:sz="0" w:space="0" w:color="auto"/>
        <w:right w:val="none" w:sz="0" w:space="0" w:color="auto"/>
      </w:divBdr>
      <w:divsChild>
        <w:div w:id="1167668543">
          <w:marLeft w:val="0"/>
          <w:marRight w:val="0"/>
          <w:marTop w:val="0"/>
          <w:marBottom w:val="0"/>
          <w:divBdr>
            <w:top w:val="none" w:sz="0" w:space="0" w:color="auto"/>
            <w:left w:val="none" w:sz="0" w:space="0" w:color="auto"/>
            <w:bottom w:val="none" w:sz="0" w:space="0" w:color="auto"/>
            <w:right w:val="none" w:sz="0" w:space="0" w:color="auto"/>
          </w:divBdr>
          <w:divsChild>
            <w:div w:id="1310591856">
              <w:marLeft w:val="0"/>
              <w:marRight w:val="0"/>
              <w:marTop w:val="0"/>
              <w:marBottom w:val="0"/>
              <w:divBdr>
                <w:top w:val="none" w:sz="0" w:space="0" w:color="auto"/>
                <w:left w:val="none" w:sz="0" w:space="0" w:color="auto"/>
                <w:bottom w:val="none" w:sz="0" w:space="0" w:color="auto"/>
                <w:right w:val="none" w:sz="0" w:space="0" w:color="auto"/>
              </w:divBdr>
              <w:divsChild>
                <w:div w:id="2127893257">
                  <w:marLeft w:val="2928"/>
                  <w:marRight w:val="0"/>
                  <w:marTop w:val="720"/>
                  <w:marBottom w:val="0"/>
                  <w:divBdr>
                    <w:top w:val="none" w:sz="0" w:space="0" w:color="auto"/>
                    <w:left w:val="none" w:sz="0" w:space="0" w:color="auto"/>
                    <w:bottom w:val="none" w:sz="0" w:space="0" w:color="auto"/>
                    <w:right w:val="none" w:sz="0" w:space="0" w:color="auto"/>
                  </w:divBdr>
                  <w:divsChild>
                    <w:div w:id="1736940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78457304">
      <w:bodyDiv w:val="1"/>
      <w:marLeft w:val="0"/>
      <w:marRight w:val="0"/>
      <w:marTop w:val="0"/>
      <w:marBottom w:val="0"/>
      <w:divBdr>
        <w:top w:val="none" w:sz="0" w:space="0" w:color="auto"/>
        <w:left w:val="none" w:sz="0" w:space="0" w:color="auto"/>
        <w:bottom w:val="none" w:sz="0" w:space="0" w:color="auto"/>
        <w:right w:val="none" w:sz="0" w:space="0" w:color="auto"/>
      </w:divBdr>
      <w:divsChild>
        <w:div w:id="1229532716">
          <w:marLeft w:val="0"/>
          <w:marRight w:val="0"/>
          <w:marTop w:val="0"/>
          <w:marBottom w:val="0"/>
          <w:divBdr>
            <w:top w:val="none" w:sz="0" w:space="0" w:color="auto"/>
            <w:left w:val="none" w:sz="0" w:space="0" w:color="auto"/>
            <w:bottom w:val="none" w:sz="0" w:space="0" w:color="auto"/>
            <w:right w:val="none" w:sz="0" w:space="0" w:color="auto"/>
          </w:divBdr>
          <w:divsChild>
            <w:div w:id="453601196">
              <w:marLeft w:val="0"/>
              <w:marRight w:val="0"/>
              <w:marTop w:val="0"/>
              <w:marBottom w:val="0"/>
              <w:divBdr>
                <w:top w:val="none" w:sz="0" w:space="0" w:color="auto"/>
                <w:left w:val="none" w:sz="0" w:space="0" w:color="auto"/>
                <w:bottom w:val="none" w:sz="0" w:space="0" w:color="auto"/>
                <w:right w:val="none" w:sz="0" w:space="0" w:color="auto"/>
              </w:divBdr>
              <w:divsChild>
                <w:div w:id="919873192">
                  <w:marLeft w:val="2928"/>
                  <w:marRight w:val="0"/>
                  <w:marTop w:val="720"/>
                  <w:marBottom w:val="0"/>
                  <w:divBdr>
                    <w:top w:val="none" w:sz="0" w:space="0" w:color="auto"/>
                    <w:left w:val="none" w:sz="0" w:space="0" w:color="auto"/>
                    <w:bottom w:val="none" w:sz="0" w:space="0" w:color="auto"/>
                    <w:right w:val="none" w:sz="0" w:space="0" w:color="auto"/>
                  </w:divBdr>
                  <w:divsChild>
                    <w:div w:id="24210277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2087650">
      <w:bodyDiv w:val="1"/>
      <w:marLeft w:val="0"/>
      <w:marRight w:val="0"/>
      <w:marTop w:val="0"/>
      <w:marBottom w:val="0"/>
      <w:divBdr>
        <w:top w:val="none" w:sz="0" w:space="0" w:color="auto"/>
        <w:left w:val="none" w:sz="0" w:space="0" w:color="auto"/>
        <w:bottom w:val="none" w:sz="0" w:space="0" w:color="auto"/>
        <w:right w:val="none" w:sz="0" w:space="0" w:color="auto"/>
      </w:divBdr>
    </w:div>
    <w:div w:id="1784299259">
      <w:bodyDiv w:val="1"/>
      <w:marLeft w:val="0"/>
      <w:marRight w:val="0"/>
      <w:marTop w:val="0"/>
      <w:marBottom w:val="0"/>
      <w:divBdr>
        <w:top w:val="none" w:sz="0" w:space="0" w:color="auto"/>
        <w:left w:val="none" w:sz="0" w:space="0" w:color="auto"/>
        <w:bottom w:val="none" w:sz="0" w:space="0" w:color="auto"/>
        <w:right w:val="none" w:sz="0" w:space="0" w:color="auto"/>
      </w:divBdr>
    </w:div>
    <w:div w:id="1980764570">
      <w:bodyDiv w:val="1"/>
      <w:marLeft w:val="0"/>
      <w:marRight w:val="0"/>
      <w:marTop w:val="0"/>
      <w:marBottom w:val="0"/>
      <w:divBdr>
        <w:top w:val="none" w:sz="0" w:space="0" w:color="auto"/>
        <w:left w:val="none" w:sz="0" w:space="0" w:color="auto"/>
        <w:bottom w:val="none" w:sz="0" w:space="0" w:color="auto"/>
        <w:right w:val="none" w:sz="0" w:space="0" w:color="auto"/>
      </w:divBdr>
      <w:divsChild>
        <w:div w:id="1723864515">
          <w:marLeft w:val="0"/>
          <w:marRight w:val="0"/>
          <w:marTop w:val="0"/>
          <w:marBottom w:val="0"/>
          <w:divBdr>
            <w:top w:val="none" w:sz="0" w:space="0" w:color="auto"/>
            <w:left w:val="none" w:sz="0" w:space="0" w:color="auto"/>
            <w:bottom w:val="none" w:sz="0" w:space="0" w:color="auto"/>
            <w:right w:val="none" w:sz="0" w:space="0" w:color="auto"/>
          </w:divBdr>
          <w:divsChild>
            <w:div w:id="1071973042">
              <w:marLeft w:val="0"/>
              <w:marRight w:val="0"/>
              <w:marTop w:val="0"/>
              <w:marBottom w:val="0"/>
              <w:divBdr>
                <w:top w:val="none" w:sz="0" w:space="0" w:color="auto"/>
                <w:left w:val="none" w:sz="0" w:space="0" w:color="auto"/>
                <w:bottom w:val="none" w:sz="0" w:space="0" w:color="auto"/>
                <w:right w:val="none" w:sz="0" w:space="0" w:color="auto"/>
              </w:divBdr>
              <w:divsChild>
                <w:div w:id="1494711743">
                  <w:marLeft w:val="2928"/>
                  <w:marRight w:val="0"/>
                  <w:marTop w:val="720"/>
                  <w:marBottom w:val="0"/>
                  <w:divBdr>
                    <w:top w:val="none" w:sz="0" w:space="0" w:color="auto"/>
                    <w:left w:val="none" w:sz="0" w:space="0" w:color="auto"/>
                    <w:bottom w:val="none" w:sz="0" w:space="0" w:color="auto"/>
                    <w:right w:val="none" w:sz="0" w:space="0" w:color="auto"/>
                  </w:divBdr>
                  <w:divsChild>
                    <w:div w:id="2760683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021CAB9-767E-4D9C-B51D-76526FDA8FE7}"/>
</file>

<file path=customXml/itemProps2.xml><?xml version="1.0" encoding="utf-8"?>
<ds:datastoreItem xmlns:ds="http://schemas.openxmlformats.org/officeDocument/2006/customXml" ds:itemID="{62447EFB-5DC0-47F6-B9C4-9F042F3B3889}"/>
</file>

<file path=customXml/itemProps3.xml><?xml version="1.0" encoding="utf-8"?>
<ds:datastoreItem xmlns:ds="http://schemas.openxmlformats.org/officeDocument/2006/customXml" ds:itemID="{A3AB2965-AED8-4B40-8DE3-8131AC5A5019}"/>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3761</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2006-01-25T10:29:00Z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