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52" w:rsidRDefault="00922552" w:rsidP="00922552">
      <w:pPr>
        <w:jc w:val="center"/>
        <w:rPr>
          <w:rFonts w:ascii="Arial" w:hAnsi="Arial" w:cs="Arial"/>
          <w:b/>
          <w:sz w:val="28"/>
          <w:szCs w:val="28"/>
        </w:rPr>
      </w:pPr>
      <w:bookmarkStart w:id="0" w:name="_GoBack"/>
      <w:bookmarkEnd w:id="0"/>
      <w:r>
        <w:rPr>
          <w:rFonts w:ascii="Arial" w:hAnsi="Arial" w:cs="Arial"/>
          <w:b/>
          <w:sz w:val="28"/>
          <w:szCs w:val="28"/>
        </w:rPr>
        <w:t>5454</w:t>
      </w:r>
    </w:p>
    <w:p w:rsidR="00922552" w:rsidRDefault="00922552" w:rsidP="00922552">
      <w:pPr>
        <w:jc w:val="center"/>
        <w:rPr>
          <w:rFonts w:ascii="Arial" w:hAnsi="Arial" w:cs="Arial"/>
          <w:b/>
          <w:sz w:val="28"/>
          <w:szCs w:val="28"/>
        </w:rPr>
      </w:pPr>
    </w:p>
    <w:p w:rsidR="00922552" w:rsidRDefault="00922552" w:rsidP="00922552">
      <w:pPr>
        <w:jc w:val="center"/>
        <w:rPr>
          <w:rFonts w:ascii="Arial" w:hAnsi="Arial" w:cs="Arial"/>
          <w:b/>
          <w:sz w:val="28"/>
          <w:szCs w:val="28"/>
        </w:rPr>
      </w:pPr>
    </w:p>
    <w:p w:rsidR="00922552" w:rsidRDefault="00922552" w:rsidP="00922552">
      <w:pPr>
        <w:jc w:val="center"/>
        <w:rPr>
          <w:rFonts w:ascii="Arial" w:hAnsi="Arial" w:cs="Arial"/>
          <w:b/>
          <w:sz w:val="28"/>
          <w:szCs w:val="28"/>
        </w:rPr>
      </w:pPr>
      <w:r w:rsidRPr="00922552">
        <w:rPr>
          <w:rFonts w:ascii="Arial" w:hAnsi="Arial" w:cs="Arial"/>
          <w:b/>
          <w:sz w:val="28"/>
          <w:szCs w:val="28"/>
        </w:rPr>
        <w:t>Projet de loi arrêtant un programme pluriannuel de recrutement dans le cadre de l'organisation judiciaire</w:t>
      </w:r>
    </w:p>
    <w:p w:rsidR="00922552" w:rsidRDefault="00922552" w:rsidP="00922552">
      <w:pPr>
        <w:jc w:val="center"/>
        <w:rPr>
          <w:rFonts w:ascii="Arial" w:hAnsi="Arial" w:cs="Arial"/>
          <w:b/>
          <w:sz w:val="28"/>
          <w:szCs w:val="28"/>
        </w:rPr>
      </w:pPr>
    </w:p>
    <w:p w:rsidR="00922552" w:rsidRDefault="00922552" w:rsidP="00922552">
      <w:pPr>
        <w:jc w:val="center"/>
        <w:rPr>
          <w:rFonts w:ascii="Arial" w:hAnsi="Arial" w:cs="Arial"/>
          <w:b/>
          <w:sz w:val="28"/>
          <w:szCs w:val="28"/>
        </w:rPr>
      </w:pPr>
    </w:p>
    <w:p w:rsidR="00922552" w:rsidRDefault="00922552" w:rsidP="00922552">
      <w:pPr>
        <w:jc w:val="center"/>
        <w:rPr>
          <w:rFonts w:ascii="Arial" w:hAnsi="Arial" w:cs="Arial"/>
          <w:b/>
          <w:sz w:val="28"/>
          <w:szCs w:val="28"/>
          <w:u w:val="single"/>
        </w:rPr>
      </w:pPr>
      <w:r>
        <w:rPr>
          <w:rFonts w:ascii="Arial" w:hAnsi="Arial" w:cs="Arial"/>
          <w:b/>
          <w:sz w:val="28"/>
          <w:szCs w:val="28"/>
          <w:u w:val="single"/>
        </w:rPr>
        <w:t>Résumé</w:t>
      </w:r>
    </w:p>
    <w:p w:rsidR="00922552" w:rsidRDefault="00922552" w:rsidP="00922552">
      <w:pPr>
        <w:jc w:val="both"/>
        <w:rPr>
          <w:rFonts w:ascii="Arial" w:hAnsi="Arial" w:cs="Arial"/>
        </w:rPr>
      </w:pPr>
    </w:p>
    <w:p w:rsidR="00922552" w:rsidRDefault="00922552" w:rsidP="00922552">
      <w:pPr>
        <w:jc w:val="both"/>
        <w:rPr>
          <w:rFonts w:ascii="Arial" w:hAnsi="Arial" w:cs="Arial"/>
        </w:rPr>
      </w:pPr>
    </w:p>
    <w:p w:rsidR="00922552" w:rsidRDefault="00922552" w:rsidP="00922552">
      <w:pPr>
        <w:jc w:val="both"/>
        <w:rPr>
          <w:rFonts w:ascii="Arial" w:hAnsi="Arial" w:cs="Arial"/>
        </w:rPr>
      </w:pPr>
    </w:p>
    <w:p w:rsidR="00857240" w:rsidRPr="00857240" w:rsidRDefault="00857240" w:rsidP="00857240">
      <w:pPr>
        <w:jc w:val="both"/>
        <w:rPr>
          <w:rFonts w:ascii="Arial" w:hAnsi="Arial" w:cs="Arial"/>
          <w:lang w:val="fr-LU"/>
        </w:rPr>
      </w:pPr>
      <w:r>
        <w:rPr>
          <w:rFonts w:ascii="Arial" w:hAnsi="Arial" w:cs="Arial"/>
        </w:rPr>
        <w:t>T</w:t>
      </w:r>
      <w:r>
        <w:rPr>
          <w:rFonts w:ascii="Arial" w:hAnsi="Arial" w:cs="Arial"/>
          <w:lang w:val="fr-LU"/>
        </w:rPr>
        <w:t>émoignant</w:t>
      </w:r>
      <w:r w:rsidRPr="00857240">
        <w:rPr>
          <w:rFonts w:ascii="Arial" w:hAnsi="Arial" w:cs="Arial"/>
          <w:lang w:val="fr-LU"/>
        </w:rPr>
        <w:t xml:space="preserve"> de la volonté persistante des Gouvernements successifs « </w:t>
      </w:r>
      <w:r w:rsidRPr="00857240">
        <w:rPr>
          <w:rFonts w:ascii="Arial" w:hAnsi="Arial" w:cs="Arial"/>
          <w:i/>
          <w:lang w:val="fr-LU"/>
        </w:rPr>
        <w:t>de doter les services judiciaires du personnel nécessaire pour évacuer dans des délais raisonnables le contentieux juridique toujours plus complexe et toujours plus important</w:t>
      </w:r>
      <w:r>
        <w:rPr>
          <w:rFonts w:ascii="Arial" w:hAnsi="Arial" w:cs="Arial"/>
          <w:lang w:val="fr-LU"/>
        </w:rPr>
        <w:t> », l</w:t>
      </w:r>
      <w:r w:rsidRPr="00857240">
        <w:rPr>
          <w:rFonts w:ascii="Arial" w:hAnsi="Arial" w:cs="Arial"/>
          <w:lang w:val="fr-LU"/>
        </w:rPr>
        <w:t xml:space="preserve">e présent projet a pour objet d’arrêter un nouveau programme pluriannuel de recrutement dans le cadre de l’organisation judiciaire  portant sur la période comprise entre le 16 septembre 2005 et le 16 septembre 2009. Il entend ainsi poursuivre l’effort de recrutement initié par la loi du 24 juillet 2001 qui avait fixé un premier programme pluriannuel portant sur la période du 16 septembre 2001 au 16 septembre 2004. </w:t>
      </w:r>
    </w:p>
    <w:p w:rsidR="00857240" w:rsidRPr="00857240" w:rsidRDefault="00857240" w:rsidP="00857240">
      <w:pPr>
        <w:jc w:val="both"/>
        <w:rPr>
          <w:rFonts w:ascii="Arial" w:hAnsi="Arial" w:cs="Arial"/>
          <w:lang w:val="fr-LU"/>
        </w:rPr>
      </w:pPr>
    </w:p>
    <w:p w:rsidR="00857240" w:rsidRPr="00857240" w:rsidRDefault="00857240" w:rsidP="00857240">
      <w:pPr>
        <w:jc w:val="both"/>
        <w:rPr>
          <w:rFonts w:ascii="Arial" w:hAnsi="Arial" w:cs="Arial"/>
          <w:lang w:val="fr-LU"/>
        </w:rPr>
      </w:pPr>
      <w:r>
        <w:rPr>
          <w:rFonts w:ascii="Arial" w:hAnsi="Arial" w:cs="Arial"/>
          <w:lang w:val="fr-LU"/>
        </w:rPr>
        <w:t>Le projet prévoit l’engagement,</w:t>
      </w:r>
      <w:r w:rsidRPr="00857240">
        <w:rPr>
          <w:rFonts w:ascii="Arial" w:hAnsi="Arial" w:cs="Arial"/>
          <w:lang w:val="fr-LU"/>
        </w:rPr>
        <w:t xml:space="preserve"> hors numerus clausus</w:t>
      </w:r>
      <w:r>
        <w:rPr>
          <w:rFonts w:ascii="Arial" w:hAnsi="Arial" w:cs="Arial"/>
          <w:lang w:val="fr-LU"/>
        </w:rPr>
        <w:t xml:space="preserve"> et</w:t>
      </w:r>
      <w:r w:rsidRPr="00857240">
        <w:rPr>
          <w:rFonts w:ascii="Arial" w:hAnsi="Arial" w:cs="Arial"/>
          <w:lang w:val="fr-LU"/>
        </w:rPr>
        <w:t xml:space="preserve"> </w:t>
      </w:r>
      <w:r>
        <w:rPr>
          <w:rFonts w:ascii="Arial" w:hAnsi="Arial" w:cs="Arial"/>
          <w:lang w:val="fr-LU"/>
        </w:rPr>
        <w:t>échelonné</w:t>
      </w:r>
      <w:r w:rsidRPr="00857240">
        <w:rPr>
          <w:rFonts w:ascii="Arial" w:hAnsi="Arial" w:cs="Arial"/>
          <w:lang w:val="fr-LU"/>
        </w:rPr>
        <w:t xml:space="preserve"> sur la période concernée</w:t>
      </w:r>
      <w:r>
        <w:rPr>
          <w:rFonts w:ascii="Arial" w:hAnsi="Arial" w:cs="Arial"/>
          <w:lang w:val="fr-LU"/>
        </w:rPr>
        <w:t>, de</w:t>
      </w:r>
      <w:r w:rsidRPr="00857240">
        <w:rPr>
          <w:rFonts w:ascii="Arial" w:hAnsi="Arial" w:cs="Arial"/>
          <w:lang w:val="fr-LU"/>
        </w:rPr>
        <w:t xml:space="preserve"> 21 magistrats dont 8 pour les parquets,</w:t>
      </w:r>
      <w:r>
        <w:rPr>
          <w:rFonts w:ascii="Arial" w:hAnsi="Arial" w:cs="Arial"/>
          <w:lang w:val="fr-LU"/>
        </w:rPr>
        <w:t xml:space="preserve"> de</w:t>
      </w:r>
      <w:r w:rsidRPr="00857240">
        <w:rPr>
          <w:rFonts w:ascii="Arial" w:hAnsi="Arial" w:cs="Arial"/>
          <w:lang w:val="fr-LU"/>
        </w:rPr>
        <w:t xml:space="preserve"> 20 agents administratifs (11 rédacteurs et 9 employés) et, pour le Service Central d’Assistance Sociale (SCAS), </w:t>
      </w:r>
      <w:r w:rsidR="006C0EC0">
        <w:rPr>
          <w:rFonts w:ascii="Arial" w:hAnsi="Arial" w:cs="Arial"/>
          <w:lang w:val="fr-LU"/>
        </w:rPr>
        <w:t>d’</w:t>
      </w:r>
      <w:r w:rsidRPr="00857240">
        <w:rPr>
          <w:rFonts w:ascii="Arial" w:hAnsi="Arial" w:cs="Arial"/>
          <w:lang w:val="fr-LU"/>
        </w:rPr>
        <w:t>1 psychologue et</w:t>
      </w:r>
      <w:r w:rsidR="006C0EC0">
        <w:rPr>
          <w:rFonts w:ascii="Arial" w:hAnsi="Arial" w:cs="Arial"/>
          <w:lang w:val="fr-LU"/>
        </w:rPr>
        <w:t xml:space="preserve"> de</w:t>
      </w:r>
      <w:r w:rsidRPr="00857240">
        <w:rPr>
          <w:rFonts w:ascii="Arial" w:hAnsi="Arial" w:cs="Arial"/>
          <w:lang w:val="fr-LU"/>
        </w:rPr>
        <w:t xml:space="preserve"> 6 agents de probation, un total sensiblement égal au programme précédent.</w:t>
      </w:r>
    </w:p>
    <w:p w:rsidR="00857240" w:rsidRPr="00857240" w:rsidRDefault="00857240" w:rsidP="00857240">
      <w:pPr>
        <w:jc w:val="both"/>
        <w:rPr>
          <w:rFonts w:ascii="Arial" w:hAnsi="Arial" w:cs="Arial"/>
          <w:lang w:val="fr-LU"/>
        </w:rPr>
      </w:pPr>
    </w:p>
    <w:p w:rsidR="00857240" w:rsidRPr="00857240" w:rsidRDefault="00857240" w:rsidP="00857240">
      <w:pPr>
        <w:jc w:val="both"/>
        <w:rPr>
          <w:rFonts w:ascii="Arial" w:hAnsi="Arial" w:cs="Arial"/>
          <w:lang w:val="fr-LU"/>
        </w:rPr>
      </w:pPr>
      <w:r w:rsidRPr="00857240">
        <w:rPr>
          <w:rFonts w:ascii="Arial" w:hAnsi="Arial" w:cs="Arial"/>
          <w:lang w:val="fr-LU"/>
        </w:rPr>
        <w:t>L’échelonnement du recrutement s’établira comme suit :</w:t>
      </w:r>
    </w:p>
    <w:p w:rsidR="00857240" w:rsidRPr="00857240" w:rsidRDefault="00857240" w:rsidP="00857240">
      <w:pPr>
        <w:jc w:val="both"/>
        <w:rPr>
          <w:rFonts w:ascii="Arial" w:hAnsi="Arial" w:cs="Arial"/>
          <w:lang w:val="fr-LU"/>
        </w:rPr>
      </w:pPr>
    </w:p>
    <w:p w:rsidR="00857240" w:rsidRPr="00857240" w:rsidRDefault="00857240" w:rsidP="00857240">
      <w:pPr>
        <w:numPr>
          <w:ilvl w:val="0"/>
          <w:numId w:val="1"/>
        </w:numPr>
        <w:jc w:val="both"/>
        <w:rPr>
          <w:rFonts w:ascii="Arial" w:hAnsi="Arial" w:cs="Arial"/>
          <w:u w:val="single"/>
          <w:lang w:val="fr-LU"/>
        </w:rPr>
      </w:pPr>
      <w:r w:rsidRPr="00857240">
        <w:rPr>
          <w:rFonts w:ascii="Arial" w:hAnsi="Arial" w:cs="Arial"/>
          <w:u w:val="single"/>
          <w:lang w:val="fr-LU"/>
        </w:rPr>
        <w:t>au 16 septembre 2005</w:t>
      </w:r>
      <w:r w:rsidRPr="00857240">
        <w:rPr>
          <w:rFonts w:ascii="Arial" w:hAnsi="Arial" w:cs="Arial"/>
          <w:lang w:val="fr-LU"/>
        </w:rPr>
        <w:t> :</w:t>
      </w:r>
      <w:r w:rsidRPr="00857240">
        <w:rPr>
          <w:rFonts w:ascii="Arial" w:hAnsi="Arial" w:cs="Arial"/>
          <w:u w:val="single"/>
          <w:lang w:val="fr-LU"/>
        </w:rPr>
        <w:t xml:space="preserve"> </w:t>
      </w:r>
    </w:p>
    <w:p w:rsidR="00857240" w:rsidRPr="00857240" w:rsidRDefault="00857240" w:rsidP="00857240">
      <w:pPr>
        <w:jc w:val="both"/>
        <w:rPr>
          <w:rFonts w:ascii="Arial" w:hAnsi="Arial" w:cs="Arial"/>
          <w:lang w:val="fr-LU"/>
        </w:rPr>
      </w:pPr>
    </w:p>
    <w:p w:rsidR="00857240" w:rsidRPr="00857240" w:rsidRDefault="00857240" w:rsidP="00857240">
      <w:pPr>
        <w:jc w:val="both"/>
        <w:rPr>
          <w:rFonts w:ascii="Arial" w:hAnsi="Arial" w:cs="Arial"/>
          <w:lang w:val="fr-LU"/>
        </w:rPr>
      </w:pPr>
      <w:r w:rsidRPr="00857240">
        <w:rPr>
          <w:rFonts w:ascii="Arial" w:hAnsi="Arial" w:cs="Arial"/>
          <w:lang w:val="fr-LU"/>
        </w:rPr>
        <w:t>une chambre correctionnelle supplémentaire auprès de la Cour d’appel ;</w:t>
      </w:r>
    </w:p>
    <w:p w:rsidR="00857240" w:rsidRPr="00857240" w:rsidRDefault="00857240" w:rsidP="00857240">
      <w:pPr>
        <w:jc w:val="both"/>
        <w:rPr>
          <w:rFonts w:ascii="Arial" w:hAnsi="Arial" w:cs="Arial"/>
          <w:lang w:val="fr-LU"/>
        </w:rPr>
      </w:pPr>
      <w:r w:rsidRPr="00857240">
        <w:rPr>
          <w:rFonts w:ascii="Arial" w:hAnsi="Arial" w:cs="Arial"/>
          <w:lang w:val="fr-LU"/>
        </w:rPr>
        <w:t>un premier avocat général au Parquet général ;</w:t>
      </w:r>
    </w:p>
    <w:p w:rsidR="00857240" w:rsidRPr="00857240" w:rsidRDefault="00857240" w:rsidP="00857240">
      <w:pPr>
        <w:jc w:val="both"/>
        <w:rPr>
          <w:rFonts w:ascii="Arial" w:hAnsi="Arial" w:cs="Arial"/>
          <w:lang w:val="fr-LU"/>
        </w:rPr>
      </w:pPr>
      <w:r w:rsidRPr="00857240">
        <w:rPr>
          <w:rFonts w:ascii="Arial" w:hAnsi="Arial" w:cs="Arial"/>
          <w:lang w:val="fr-LU"/>
        </w:rPr>
        <w:t>un second juge de la jeunesse auprès du tribunal d’arrondissement de Luxembourg ;</w:t>
      </w:r>
    </w:p>
    <w:p w:rsidR="00857240" w:rsidRPr="00857240" w:rsidRDefault="00857240" w:rsidP="00857240">
      <w:pPr>
        <w:jc w:val="both"/>
        <w:rPr>
          <w:rFonts w:ascii="Arial" w:hAnsi="Arial" w:cs="Arial"/>
          <w:lang w:val="fr-LU"/>
        </w:rPr>
      </w:pPr>
    </w:p>
    <w:p w:rsidR="00857240" w:rsidRPr="00857240" w:rsidRDefault="00857240" w:rsidP="00857240">
      <w:pPr>
        <w:numPr>
          <w:ilvl w:val="0"/>
          <w:numId w:val="1"/>
        </w:numPr>
        <w:jc w:val="both"/>
        <w:rPr>
          <w:rFonts w:ascii="Arial" w:hAnsi="Arial" w:cs="Arial"/>
          <w:u w:val="single"/>
          <w:lang w:val="fr-LU"/>
        </w:rPr>
      </w:pPr>
      <w:r w:rsidRPr="00857240">
        <w:rPr>
          <w:rFonts w:ascii="Arial" w:hAnsi="Arial" w:cs="Arial"/>
          <w:u w:val="single"/>
          <w:lang w:val="fr-LU"/>
        </w:rPr>
        <w:t>au 16 septembre 2006</w:t>
      </w:r>
      <w:r w:rsidRPr="00857240">
        <w:rPr>
          <w:rFonts w:ascii="Arial" w:hAnsi="Arial" w:cs="Arial"/>
          <w:lang w:val="fr-LU"/>
        </w:rPr>
        <w:t> :</w:t>
      </w:r>
    </w:p>
    <w:p w:rsidR="00857240" w:rsidRPr="00857240" w:rsidRDefault="00857240" w:rsidP="00857240">
      <w:pPr>
        <w:jc w:val="both"/>
        <w:rPr>
          <w:rFonts w:ascii="Arial" w:hAnsi="Arial" w:cs="Arial"/>
          <w:lang w:val="fr-LU"/>
        </w:rPr>
      </w:pPr>
    </w:p>
    <w:p w:rsidR="00857240" w:rsidRPr="00857240" w:rsidRDefault="00857240" w:rsidP="00857240">
      <w:pPr>
        <w:jc w:val="both"/>
        <w:rPr>
          <w:rFonts w:ascii="Arial" w:hAnsi="Arial" w:cs="Arial"/>
          <w:lang w:val="fr-LU"/>
        </w:rPr>
      </w:pPr>
      <w:r w:rsidRPr="00857240">
        <w:rPr>
          <w:rFonts w:ascii="Arial" w:hAnsi="Arial" w:cs="Arial"/>
          <w:lang w:val="fr-LU"/>
        </w:rPr>
        <w:t>deux juges pour le tribunal d’arrondissement de Luxembourg ;</w:t>
      </w:r>
    </w:p>
    <w:p w:rsidR="00857240" w:rsidRPr="00857240" w:rsidRDefault="00857240" w:rsidP="00857240">
      <w:pPr>
        <w:jc w:val="both"/>
        <w:rPr>
          <w:rFonts w:ascii="Arial" w:hAnsi="Arial" w:cs="Arial"/>
          <w:lang w:val="fr-LU"/>
        </w:rPr>
      </w:pPr>
      <w:r w:rsidRPr="00857240">
        <w:rPr>
          <w:rFonts w:ascii="Arial" w:hAnsi="Arial" w:cs="Arial"/>
          <w:lang w:val="fr-LU"/>
        </w:rPr>
        <w:t>un premier juge pour le tribunal d’arrondissement de Diekirch ;</w:t>
      </w:r>
    </w:p>
    <w:p w:rsidR="00857240" w:rsidRPr="00857240" w:rsidRDefault="00857240" w:rsidP="00857240">
      <w:pPr>
        <w:jc w:val="both"/>
        <w:rPr>
          <w:rFonts w:ascii="Arial" w:hAnsi="Arial" w:cs="Arial"/>
          <w:lang w:val="fr-LU"/>
        </w:rPr>
      </w:pPr>
      <w:r w:rsidRPr="00857240">
        <w:rPr>
          <w:rFonts w:ascii="Arial" w:hAnsi="Arial" w:cs="Arial"/>
          <w:lang w:val="fr-LU"/>
        </w:rPr>
        <w:t>un substitut principal pour le Parquet près le tribunal d’arrondissement de Luxembourg ;</w:t>
      </w:r>
    </w:p>
    <w:p w:rsidR="00857240" w:rsidRPr="00857240" w:rsidRDefault="00857240" w:rsidP="00857240">
      <w:pPr>
        <w:jc w:val="both"/>
        <w:rPr>
          <w:rFonts w:ascii="Arial" w:hAnsi="Arial" w:cs="Arial"/>
          <w:lang w:val="fr-LU"/>
        </w:rPr>
      </w:pPr>
      <w:r w:rsidRPr="00857240">
        <w:rPr>
          <w:rFonts w:ascii="Arial" w:hAnsi="Arial" w:cs="Arial"/>
          <w:lang w:val="fr-LU"/>
        </w:rPr>
        <w:t>un substitut pour le Parquet près le tribunal d’arrondissement de Diekirch ;</w:t>
      </w:r>
    </w:p>
    <w:p w:rsidR="00857240" w:rsidRPr="00857240" w:rsidRDefault="00857240" w:rsidP="00857240">
      <w:pPr>
        <w:jc w:val="both"/>
        <w:rPr>
          <w:rFonts w:ascii="Arial" w:hAnsi="Arial" w:cs="Arial"/>
          <w:lang w:val="fr-LU"/>
        </w:rPr>
      </w:pPr>
      <w:r w:rsidRPr="00857240">
        <w:rPr>
          <w:rFonts w:ascii="Arial" w:hAnsi="Arial" w:cs="Arial"/>
          <w:lang w:val="fr-LU"/>
        </w:rPr>
        <w:t>un psychologue et deux agents de probation pour le SCAS ;</w:t>
      </w:r>
    </w:p>
    <w:p w:rsidR="00857240" w:rsidRPr="00857240" w:rsidRDefault="00857240" w:rsidP="00857240">
      <w:pPr>
        <w:jc w:val="both"/>
        <w:rPr>
          <w:rFonts w:ascii="Arial" w:hAnsi="Arial" w:cs="Arial"/>
          <w:lang w:val="fr-LU"/>
        </w:rPr>
      </w:pPr>
    </w:p>
    <w:p w:rsidR="00857240" w:rsidRPr="00857240" w:rsidRDefault="00857240" w:rsidP="00857240">
      <w:pPr>
        <w:numPr>
          <w:ilvl w:val="0"/>
          <w:numId w:val="1"/>
        </w:numPr>
        <w:jc w:val="both"/>
        <w:rPr>
          <w:rFonts w:ascii="Arial" w:hAnsi="Arial" w:cs="Arial"/>
          <w:lang w:val="fr-LU"/>
        </w:rPr>
      </w:pPr>
      <w:r w:rsidRPr="00857240">
        <w:rPr>
          <w:rFonts w:ascii="Arial" w:hAnsi="Arial" w:cs="Arial"/>
          <w:u w:val="single"/>
          <w:lang w:val="fr-LU"/>
        </w:rPr>
        <w:t>au 16 septembre 2007</w:t>
      </w:r>
      <w:r w:rsidRPr="00857240">
        <w:rPr>
          <w:rFonts w:ascii="Arial" w:hAnsi="Arial" w:cs="Arial"/>
          <w:lang w:val="fr-LU"/>
        </w:rPr>
        <w:t> :</w:t>
      </w:r>
    </w:p>
    <w:p w:rsidR="00857240" w:rsidRPr="00857240" w:rsidRDefault="00857240" w:rsidP="00857240">
      <w:pPr>
        <w:jc w:val="both"/>
        <w:rPr>
          <w:rFonts w:ascii="Arial" w:hAnsi="Arial" w:cs="Arial"/>
          <w:lang w:val="fr-LU"/>
        </w:rPr>
      </w:pPr>
    </w:p>
    <w:p w:rsidR="00857240" w:rsidRPr="00857240" w:rsidRDefault="00857240" w:rsidP="00857240">
      <w:pPr>
        <w:jc w:val="both"/>
        <w:rPr>
          <w:rFonts w:ascii="Arial" w:hAnsi="Arial" w:cs="Arial"/>
          <w:lang w:val="fr-LU"/>
        </w:rPr>
      </w:pPr>
      <w:r w:rsidRPr="00857240">
        <w:rPr>
          <w:rFonts w:ascii="Arial" w:hAnsi="Arial" w:cs="Arial"/>
          <w:lang w:val="fr-LU"/>
        </w:rPr>
        <w:t>une chambre correctionnelle supplémentaire auprès du tribunal d’arrondissement de Luxembourg ;</w:t>
      </w:r>
    </w:p>
    <w:p w:rsidR="00857240" w:rsidRPr="00857240" w:rsidRDefault="00857240" w:rsidP="00857240">
      <w:pPr>
        <w:jc w:val="both"/>
        <w:rPr>
          <w:rFonts w:ascii="Arial" w:hAnsi="Arial" w:cs="Arial"/>
          <w:lang w:val="fr-LU"/>
        </w:rPr>
      </w:pPr>
      <w:r w:rsidRPr="00857240">
        <w:rPr>
          <w:rFonts w:ascii="Arial" w:hAnsi="Arial" w:cs="Arial"/>
          <w:lang w:val="fr-LU"/>
        </w:rPr>
        <w:lastRenderedPageBreak/>
        <w:t>un premier substitut et un substitut pour le Parquet près le tribunal d’arrondissement de Luxembourg ;</w:t>
      </w:r>
    </w:p>
    <w:p w:rsidR="00857240" w:rsidRPr="00857240" w:rsidRDefault="00857240" w:rsidP="00857240">
      <w:pPr>
        <w:jc w:val="both"/>
        <w:rPr>
          <w:rFonts w:ascii="Arial" w:hAnsi="Arial" w:cs="Arial"/>
          <w:lang w:val="fr-LU"/>
        </w:rPr>
      </w:pPr>
      <w:r w:rsidRPr="00857240">
        <w:rPr>
          <w:rFonts w:ascii="Arial" w:hAnsi="Arial" w:cs="Arial"/>
          <w:lang w:val="fr-LU"/>
        </w:rPr>
        <w:t>deux agents de probation pour le SCAS ;</w:t>
      </w:r>
    </w:p>
    <w:p w:rsidR="00857240" w:rsidRPr="00857240" w:rsidRDefault="00857240" w:rsidP="00857240">
      <w:pPr>
        <w:jc w:val="both"/>
        <w:rPr>
          <w:rFonts w:ascii="Arial" w:hAnsi="Arial" w:cs="Arial"/>
          <w:lang w:val="fr-LU"/>
        </w:rPr>
      </w:pPr>
    </w:p>
    <w:p w:rsidR="00857240" w:rsidRPr="00857240" w:rsidRDefault="00857240" w:rsidP="00857240">
      <w:pPr>
        <w:numPr>
          <w:ilvl w:val="0"/>
          <w:numId w:val="1"/>
        </w:numPr>
        <w:jc w:val="both"/>
        <w:rPr>
          <w:rFonts w:ascii="Arial" w:hAnsi="Arial" w:cs="Arial"/>
          <w:lang w:val="fr-LU"/>
        </w:rPr>
      </w:pPr>
      <w:r w:rsidRPr="00857240">
        <w:rPr>
          <w:rFonts w:ascii="Arial" w:hAnsi="Arial" w:cs="Arial"/>
          <w:u w:val="single"/>
          <w:lang w:val="fr-LU"/>
        </w:rPr>
        <w:t>au 16 septembre 2008</w:t>
      </w:r>
      <w:r w:rsidRPr="00857240">
        <w:rPr>
          <w:rFonts w:ascii="Arial" w:hAnsi="Arial" w:cs="Arial"/>
          <w:lang w:val="fr-LU"/>
        </w:rPr>
        <w:t> :</w:t>
      </w:r>
    </w:p>
    <w:p w:rsidR="00857240" w:rsidRPr="00857240" w:rsidRDefault="00857240" w:rsidP="00857240">
      <w:pPr>
        <w:jc w:val="both"/>
        <w:rPr>
          <w:rFonts w:ascii="Arial" w:hAnsi="Arial" w:cs="Arial"/>
          <w:lang w:val="fr-LU"/>
        </w:rPr>
      </w:pPr>
    </w:p>
    <w:p w:rsidR="00857240" w:rsidRPr="00857240" w:rsidRDefault="00857240" w:rsidP="00857240">
      <w:pPr>
        <w:jc w:val="both"/>
        <w:rPr>
          <w:rFonts w:ascii="Arial" w:hAnsi="Arial" w:cs="Arial"/>
          <w:lang w:val="fr-LU"/>
        </w:rPr>
      </w:pPr>
      <w:r w:rsidRPr="00857240">
        <w:rPr>
          <w:rFonts w:ascii="Arial" w:hAnsi="Arial" w:cs="Arial"/>
          <w:lang w:val="fr-LU"/>
        </w:rPr>
        <w:t>deux juges pour le tribunal d’arrondissement de Luxembourg ;</w:t>
      </w:r>
    </w:p>
    <w:p w:rsidR="00857240" w:rsidRPr="00857240" w:rsidRDefault="00857240" w:rsidP="00857240">
      <w:pPr>
        <w:jc w:val="both"/>
        <w:rPr>
          <w:rFonts w:ascii="Arial" w:hAnsi="Arial" w:cs="Arial"/>
          <w:lang w:val="fr-LU"/>
        </w:rPr>
      </w:pPr>
      <w:r w:rsidRPr="00857240">
        <w:rPr>
          <w:rFonts w:ascii="Arial" w:hAnsi="Arial" w:cs="Arial"/>
          <w:lang w:val="fr-LU"/>
        </w:rPr>
        <w:t>un substitut principal pour le Parquet près le tribunal d’arrondissement de Luxembourg ;</w:t>
      </w:r>
    </w:p>
    <w:p w:rsidR="00857240" w:rsidRPr="00857240" w:rsidRDefault="00857240" w:rsidP="00857240">
      <w:pPr>
        <w:jc w:val="both"/>
        <w:rPr>
          <w:rFonts w:ascii="Arial" w:hAnsi="Arial" w:cs="Arial"/>
          <w:lang w:val="fr-LU"/>
        </w:rPr>
      </w:pPr>
      <w:r w:rsidRPr="00857240">
        <w:rPr>
          <w:rFonts w:ascii="Arial" w:hAnsi="Arial" w:cs="Arial"/>
          <w:lang w:val="fr-LU"/>
        </w:rPr>
        <w:t>deux agents de probation pour le SCAS ;</w:t>
      </w:r>
    </w:p>
    <w:p w:rsidR="00857240" w:rsidRPr="00857240" w:rsidRDefault="00857240" w:rsidP="00857240">
      <w:pPr>
        <w:jc w:val="both"/>
        <w:rPr>
          <w:rFonts w:ascii="Arial" w:hAnsi="Arial" w:cs="Arial"/>
          <w:lang w:val="fr-LU"/>
        </w:rPr>
      </w:pPr>
    </w:p>
    <w:p w:rsidR="00857240" w:rsidRPr="00857240" w:rsidRDefault="00857240" w:rsidP="00857240">
      <w:pPr>
        <w:numPr>
          <w:ilvl w:val="0"/>
          <w:numId w:val="1"/>
        </w:numPr>
        <w:jc w:val="both"/>
        <w:rPr>
          <w:rFonts w:ascii="Arial" w:hAnsi="Arial" w:cs="Arial"/>
          <w:lang w:val="fr-LU"/>
        </w:rPr>
      </w:pPr>
      <w:r w:rsidRPr="00857240">
        <w:rPr>
          <w:rFonts w:ascii="Arial" w:hAnsi="Arial" w:cs="Arial"/>
          <w:u w:val="single"/>
          <w:lang w:val="fr-LU"/>
        </w:rPr>
        <w:t>au 16 septembre 2009</w:t>
      </w:r>
      <w:r w:rsidRPr="00857240">
        <w:rPr>
          <w:rFonts w:ascii="Arial" w:hAnsi="Arial" w:cs="Arial"/>
          <w:lang w:val="fr-LU"/>
        </w:rPr>
        <w:t> :</w:t>
      </w:r>
    </w:p>
    <w:p w:rsidR="00857240" w:rsidRPr="00857240" w:rsidRDefault="00857240" w:rsidP="00857240">
      <w:pPr>
        <w:jc w:val="both"/>
        <w:rPr>
          <w:rFonts w:ascii="Arial" w:hAnsi="Arial" w:cs="Arial"/>
          <w:lang w:val="fr-LU"/>
        </w:rPr>
      </w:pPr>
    </w:p>
    <w:p w:rsidR="00857240" w:rsidRPr="00857240" w:rsidRDefault="00857240" w:rsidP="00857240">
      <w:pPr>
        <w:jc w:val="both"/>
        <w:rPr>
          <w:rFonts w:ascii="Arial" w:hAnsi="Arial" w:cs="Arial"/>
          <w:lang w:val="fr-LU"/>
        </w:rPr>
      </w:pPr>
      <w:r w:rsidRPr="00857240">
        <w:rPr>
          <w:rFonts w:ascii="Arial" w:hAnsi="Arial" w:cs="Arial"/>
          <w:lang w:val="fr-LU"/>
        </w:rPr>
        <w:t xml:space="preserve">un juge pour le tribunal d’arrondissement de Diekirch ; </w:t>
      </w:r>
    </w:p>
    <w:p w:rsidR="00922552" w:rsidRPr="00922552" w:rsidRDefault="00857240" w:rsidP="00857240">
      <w:pPr>
        <w:jc w:val="both"/>
        <w:rPr>
          <w:rFonts w:ascii="Arial" w:hAnsi="Arial" w:cs="Arial"/>
        </w:rPr>
      </w:pPr>
      <w:r w:rsidRPr="00857240">
        <w:rPr>
          <w:rFonts w:ascii="Arial" w:hAnsi="Arial" w:cs="Arial"/>
          <w:lang w:val="fr-LU"/>
        </w:rPr>
        <w:t>un premier substitut et un substitut pour le Parquet près le tribunal d’arrondissement de Luxembourg.</w:t>
      </w:r>
    </w:p>
    <w:sectPr w:rsidR="00922552" w:rsidRPr="0092255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77C9">
      <w:r>
        <w:separator/>
      </w:r>
    </w:p>
  </w:endnote>
  <w:endnote w:type="continuationSeparator" w:id="0">
    <w:p w:rsidR="00000000" w:rsidRDefault="0039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0D" w:rsidRDefault="00A0750D" w:rsidP="00A075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0750D" w:rsidRDefault="00A0750D" w:rsidP="00A0750D">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0D" w:rsidRDefault="00A0750D" w:rsidP="00A075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977C9">
      <w:rPr>
        <w:rStyle w:val="Numrodepage"/>
        <w:noProof/>
      </w:rPr>
      <w:t>1</w:t>
    </w:r>
    <w:r>
      <w:rPr>
        <w:rStyle w:val="Numrodepage"/>
      </w:rPr>
      <w:fldChar w:fldCharType="end"/>
    </w:r>
  </w:p>
  <w:p w:rsidR="00A0750D" w:rsidRDefault="00A0750D" w:rsidP="00A0750D">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77C9">
      <w:r>
        <w:separator/>
      </w:r>
    </w:p>
  </w:footnote>
  <w:footnote w:type="continuationSeparator" w:id="0">
    <w:p w:rsidR="00000000" w:rsidRDefault="003977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02C4E"/>
    <w:multiLevelType w:val="hybridMultilevel"/>
    <w:tmpl w:val="0A6E58D8"/>
    <w:lvl w:ilvl="0" w:tplc="4B0EE2E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552"/>
    <w:rsid w:val="003977C9"/>
    <w:rsid w:val="006C0EC0"/>
    <w:rsid w:val="00836BC8"/>
    <w:rsid w:val="00857240"/>
    <w:rsid w:val="00922552"/>
    <w:rsid w:val="00A0750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C32D7BD-FB28-431C-BC8A-B5569930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A0750D"/>
    <w:pPr>
      <w:tabs>
        <w:tab w:val="center" w:pos="4536"/>
        <w:tab w:val="right" w:pos="9072"/>
      </w:tabs>
    </w:pPr>
  </w:style>
  <w:style w:type="character" w:styleId="Numrodepage">
    <w:name w:val="page number"/>
    <w:basedOn w:val="Policepardfaut"/>
    <w:rsid w:val="00A0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3AD5FB-211B-4ED7-B98D-C62C55C02D0F}"/>
</file>

<file path=customXml/itemProps2.xml><?xml version="1.0" encoding="utf-8"?>
<ds:datastoreItem xmlns:ds="http://schemas.openxmlformats.org/officeDocument/2006/customXml" ds:itemID="{9ECC6FDA-F4C0-45ED-B1A4-27CFF9B42C8D}"/>
</file>

<file path=customXml/itemProps3.xml><?xml version="1.0" encoding="utf-8"?>
<ds:datastoreItem xmlns:ds="http://schemas.openxmlformats.org/officeDocument/2006/customXml" ds:itemID="{B4025C82-A613-4C73-935A-8E98E2FBD4D5}"/>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2079</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5454</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