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A56C58" w:rsidRDefault="00ED04FE" w:rsidP="00A56C5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Résumé du p</w:t>
      </w:r>
      <w:r w:rsidR="00605F7A" w:rsidRPr="00A56C58">
        <w:rPr>
          <w:rFonts w:ascii="Arial" w:hAnsi="Arial" w:cs="Arial"/>
          <w:b/>
          <w:u w:val="single"/>
        </w:rPr>
        <w:t>rojet de loi 5431</w:t>
      </w:r>
    </w:p>
    <w:p w:rsidR="00605F7A" w:rsidRPr="000A00EF" w:rsidRDefault="00605F7A" w:rsidP="00C27D88">
      <w:pPr>
        <w:jc w:val="both"/>
        <w:rPr>
          <w:rFonts w:ascii="Arial" w:hAnsi="Arial" w:cs="Arial"/>
          <w:sz w:val="22"/>
          <w:szCs w:val="22"/>
        </w:rPr>
      </w:pPr>
    </w:p>
    <w:p w:rsidR="00ED04FE" w:rsidRDefault="00605F7A" w:rsidP="00C27D88">
      <w:pPr>
        <w:jc w:val="both"/>
        <w:rPr>
          <w:rFonts w:ascii="Arial" w:hAnsi="Arial" w:cs="Arial"/>
          <w:sz w:val="22"/>
          <w:szCs w:val="22"/>
        </w:rPr>
      </w:pPr>
      <w:r w:rsidRPr="000A00EF">
        <w:rPr>
          <w:rFonts w:ascii="Arial" w:hAnsi="Arial" w:cs="Arial"/>
          <w:sz w:val="22"/>
          <w:szCs w:val="22"/>
        </w:rPr>
        <w:t xml:space="preserve">Le présent projet de loi a pour objet </w:t>
      </w:r>
      <w:r w:rsidR="00C27D88">
        <w:rPr>
          <w:rFonts w:ascii="Arial" w:hAnsi="Arial" w:cs="Arial"/>
          <w:sz w:val="22"/>
          <w:szCs w:val="22"/>
        </w:rPr>
        <w:t>d’approuver l’Accord sur les privilèges et immunités de la Cour pénale internationale</w:t>
      </w:r>
      <w:r w:rsidR="00ED04FE">
        <w:rPr>
          <w:rFonts w:ascii="Arial" w:hAnsi="Arial" w:cs="Arial"/>
          <w:sz w:val="22"/>
          <w:szCs w:val="22"/>
        </w:rPr>
        <w:t xml:space="preserve"> (CPI)</w:t>
      </w:r>
      <w:r w:rsidR="002B5BB3">
        <w:rPr>
          <w:rFonts w:ascii="Arial" w:hAnsi="Arial" w:cs="Arial"/>
          <w:sz w:val="22"/>
          <w:szCs w:val="22"/>
        </w:rPr>
        <w:t>, a</w:t>
      </w:r>
      <w:r w:rsidR="00ED04FE">
        <w:rPr>
          <w:rFonts w:ascii="Arial" w:hAnsi="Arial" w:cs="Arial"/>
          <w:sz w:val="22"/>
          <w:szCs w:val="22"/>
        </w:rPr>
        <w:t xml:space="preserve">ccord </w:t>
      </w:r>
      <w:r w:rsidR="002B5BB3">
        <w:rPr>
          <w:rFonts w:ascii="Arial" w:hAnsi="Arial" w:cs="Arial"/>
          <w:sz w:val="22"/>
          <w:szCs w:val="22"/>
        </w:rPr>
        <w:t xml:space="preserve">qui </w:t>
      </w:r>
      <w:r w:rsidR="00ED04FE">
        <w:rPr>
          <w:rFonts w:ascii="Arial" w:hAnsi="Arial" w:cs="Arial"/>
          <w:sz w:val="22"/>
          <w:szCs w:val="22"/>
        </w:rPr>
        <w:t>précise et complète les dispositions du statut de la C</w:t>
      </w:r>
      <w:r w:rsidR="00771F51">
        <w:rPr>
          <w:rFonts w:ascii="Arial" w:hAnsi="Arial" w:cs="Arial"/>
          <w:sz w:val="22"/>
          <w:szCs w:val="22"/>
        </w:rPr>
        <w:t>our</w:t>
      </w:r>
      <w:r w:rsidR="00ED04FE">
        <w:rPr>
          <w:rFonts w:ascii="Arial" w:hAnsi="Arial" w:cs="Arial"/>
          <w:sz w:val="22"/>
          <w:szCs w:val="22"/>
        </w:rPr>
        <w:t xml:space="preserve"> relatives aux privilèges, immunités et facilités accordées à la C</w:t>
      </w:r>
      <w:r w:rsidR="00771F51">
        <w:rPr>
          <w:rFonts w:ascii="Arial" w:hAnsi="Arial" w:cs="Arial"/>
          <w:sz w:val="22"/>
          <w:szCs w:val="22"/>
        </w:rPr>
        <w:t>our</w:t>
      </w:r>
      <w:r w:rsidR="00ED04FE">
        <w:rPr>
          <w:rFonts w:ascii="Arial" w:hAnsi="Arial" w:cs="Arial"/>
          <w:sz w:val="22"/>
          <w:szCs w:val="22"/>
        </w:rPr>
        <w:t xml:space="preserve"> et à son personnel sur le territoire des Etats parties.  </w:t>
      </w:r>
    </w:p>
    <w:p w:rsidR="002E15A0" w:rsidRDefault="002E15A0" w:rsidP="00C27D88">
      <w:pPr>
        <w:jc w:val="both"/>
        <w:rPr>
          <w:rFonts w:ascii="Arial" w:hAnsi="Arial" w:cs="Arial"/>
          <w:sz w:val="22"/>
          <w:szCs w:val="22"/>
        </w:rPr>
      </w:pPr>
    </w:p>
    <w:p w:rsidR="005B3D4D" w:rsidRDefault="00381922" w:rsidP="00C27D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="002B5BB3">
        <w:rPr>
          <w:rFonts w:ascii="Arial" w:hAnsi="Arial" w:cs="Arial"/>
          <w:sz w:val="22"/>
          <w:szCs w:val="22"/>
        </w:rPr>
        <w:t xml:space="preserve">privilèges et immunités du personnel de la Cour comprennent notamment une </w:t>
      </w:r>
      <w:r w:rsidR="005B3D4D">
        <w:rPr>
          <w:rFonts w:ascii="Arial" w:hAnsi="Arial" w:cs="Arial"/>
          <w:sz w:val="22"/>
          <w:szCs w:val="22"/>
        </w:rPr>
        <w:t xml:space="preserve">immunité de juridiction pour les actes accomplis dans l’exercice des fonctions, </w:t>
      </w:r>
      <w:r w:rsidR="002B5BB3">
        <w:rPr>
          <w:rFonts w:ascii="Arial" w:hAnsi="Arial" w:cs="Arial"/>
          <w:sz w:val="22"/>
          <w:szCs w:val="22"/>
        </w:rPr>
        <w:t xml:space="preserve">la </w:t>
      </w:r>
      <w:r w:rsidR="005B3D4D">
        <w:rPr>
          <w:rFonts w:ascii="Arial" w:hAnsi="Arial" w:cs="Arial"/>
          <w:sz w:val="22"/>
          <w:szCs w:val="22"/>
        </w:rPr>
        <w:t xml:space="preserve">liberté de circulation, </w:t>
      </w:r>
      <w:r w:rsidR="002B5BB3">
        <w:rPr>
          <w:rFonts w:ascii="Arial" w:hAnsi="Arial" w:cs="Arial"/>
          <w:sz w:val="22"/>
          <w:szCs w:val="22"/>
        </w:rPr>
        <w:t xml:space="preserve">la </w:t>
      </w:r>
      <w:r w:rsidR="005B3D4D">
        <w:rPr>
          <w:rFonts w:ascii="Arial" w:hAnsi="Arial" w:cs="Arial"/>
          <w:sz w:val="22"/>
          <w:szCs w:val="22"/>
        </w:rPr>
        <w:t xml:space="preserve">non-imposition des salaires et </w:t>
      </w:r>
      <w:r w:rsidR="002B5BB3">
        <w:rPr>
          <w:rFonts w:ascii="Arial" w:hAnsi="Arial" w:cs="Arial"/>
          <w:sz w:val="22"/>
          <w:szCs w:val="22"/>
        </w:rPr>
        <w:t xml:space="preserve">des </w:t>
      </w:r>
      <w:r w:rsidR="005B3D4D">
        <w:rPr>
          <w:rFonts w:ascii="Arial" w:hAnsi="Arial" w:cs="Arial"/>
          <w:sz w:val="22"/>
          <w:szCs w:val="22"/>
        </w:rPr>
        <w:t xml:space="preserve">traitements </w:t>
      </w:r>
      <w:r w:rsidR="003157B6">
        <w:rPr>
          <w:rFonts w:ascii="Arial" w:hAnsi="Arial" w:cs="Arial"/>
          <w:sz w:val="22"/>
          <w:szCs w:val="22"/>
        </w:rPr>
        <w:t>per</w:t>
      </w:r>
      <w:r w:rsidR="005B3D4D">
        <w:rPr>
          <w:rFonts w:ascii="Arial" w:hAnsi="Arial" w:cs="Arial"/>
          <w:sz w:val="22"/>
          <w:szCs w:val="22"/>
        </w:rPr>
        <w:t>çus au titre de l</w:t>
      </w:r>
      <w:r w:rsidR="002B5BB3">
        <w:rPr>
          <w:rFonts w:ascii="Arial" w:hAnsi="Arial" w:cs="Arial"/>
          <w:sz w:val="22"/>
          <w:szCs w:val="22"/>
        </w:rPr>
        <w:t>’</w:t>
      </w:r>
      <w:r w:rsidR="005B3D4D">
        <w:rPr>
          <w:rFonts w:ascii="Arial" w:hAnsi="Arial" w:cs="Arial"/>
          <w:sz w:val="22"/>
          <w:szCs w:val="22"/>
        </w:rPr>
        <w:t xml:space="preserve">activité au service de la Cour, </w:t>
      </w:r>
      <w:r w:rsidR="002B5BB3">
        <w:rPr>
          <w:rFonts w:ascii="Arial" w:hAnsi="Arial" w:cs="Arial"/>
          <w:sz w:val="22"/>
          <w:szCs w:val="22"/>
        </w:rPr>
        <w:t>l’</w:t>
      </w:r>
      <w:r w:rsidR="005B3D4D">
        <w:rPr>
          <w:rFonts w:ascii="Arial" w:hAnsi="Arial" w:cs="Arial"/>
          <w:sz w:val="22"/>
          <w:szCs w:val="22"/>
        </w:rPr>
        <w:t>inviolabilité de l</w:t>
      </w:r>
      <w:r w:rsidR="002B5BB3">
        <w:rPr>
          <w:rFonts w:ascii="Arial" w:hAnsi="Arial" w:cs="Arial"/>
          <w:sz w:val="22"/>
          <w:szCs w:val="22"/>
        </w:rPr>
        <w:t>a</w:t>
      </w:r>
      <w:r w:rsidR="005B3D4D">
        <w:rPr>
          <w:rFonts w:ascii="Arial" w:hAnsi="Arial" w:cs="Arial"/>
          <w:sz w:val="22"/>
          <w:szCs w:val="22"/>
        </w:rPr>
        <w:t xml:space="preserve"> correspondance officielle</w:t>
      </w:r>
      <w:r w:rsidR="002B5BB3">
        <w:rPr>
          <w:rFonts w:ascii="Arial" w:hAnsi="Arial" w:cs="Arial"/>
          <w:sz w:val="22"/>
          <w:szCs w:val="22"/>
        </w:rPr>
        <w:t xml:space="preserve">, l’absence de contrôle des changes et le droit d’importation et de réexportation en franchise des effets personnels. </w:t>
      </w:r>
      <w:r w:rsidR="0057197E">
        <w:rPr>
          <w:rFonts w:ascii="Arial" w:hAnsi="Arial" w:cs="Arial"/>
          <w:sz w:val="22"/>
          <w:szCs w:val="22"/>
        </w:rPr>
        <w:t xml:space="preserve"> </w:t>
      </w:r>
      <w:r w:rsidR="008B1E38">
        <w:rPr>
          <w:rFonts w:ascii="Arial" w:hAnsi="Arial" w:cs="Arial"/>
          <w:sz w:val="22"/>
          <w:szCs w:val="22"/>
        </w:rPr>
        <w:t xml:space="preserve"> </w:t>
      </w:r>
    </w:p>
    <w:p w:rsidR="002E15A0" w:rsidRDefault="002E15A0" w:rsidP="00C27D88">
      <w:pPr>
        <w:jc w:val="both"/>
        <w:rPr>
          <w:rFonts w:ascii="Arial" w:hAnsi="Arial" w:cs="Arial"/>
          <w:sz w:val="22"/>
          <w:szCs w:val="22"/>
        </w:rPr>
      </w:pPr>
    </w:p>
    <w:p w:rsidR="00C27D88" w:rsidRDefault="00884963" w:rsidP="00C27D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47BF5">
        <w:rPr>
          <w:rFonts w:ascii="Arial" w:hAnsi="Arial" w:cs="Arial"/>
          <w:sz w:val="22"/>
          <w:szCs w:val="22"/>
        </w:rPr>
        <w:t xml:space="preserve">es avocats et les collaborateurs occasionnels de la Cour, </w:t>
      </w:r>
      <w:r w:rsidR="00381922">
        <w:rPr>
          <w:rFonts w:ascii="Arial" w:hAnsi="Arial" w:cs="Arial"/>
          <w:sz w:val="22"/>
          <w:szCs w:val="22"/>
        </w:rPr>
        <w:t>tels que</w:t>
      </w:r>
      <w:r w:rsidR="00B47BF5">
        <w:rPr>
          <w:rFonts w:ascii="Arial" w:hAnsi="Arial" w:cs="Arial"/>
          <w:sz w:val="22"/>
          <w:szCs w:val="22"/>
        </w:rPr>
        <w:t xml:space="preserve"> les témoins, les experts, les victimes et leurs représentants légaux, bénéficient </w:t>
      </w:r>
      <w:r>
        <w:rPr>
          <w:rFonts w:ascii="Arial" w:hAnsi="Arial" w:cs="Arial"/>
          <w:sz w:val="22"/>
          <w:szCs w:val="22"/>
        </w:rPr>
        <w:t>également</w:t>
      </w:r>
      <w:r w:rsidR="00B47BF5">
        <w:rPr>
          <w:rFonts w:ascii="Arial" w:hAnsi="Arial" w:cs="Arial"/>
          <w:sz w:val="22"/>
          <w:szCs w:val="22"/>
        </w:rPr>
        <w:t xml:space="preserve"> de certaines immunités pour garanti</w:t>
      </w:r>
      <w:r w:rsidR="00381922">
        <w:rPr>
          <w:rFonts w:ascii="Arial" w:hAnsi="Arial" w:cs="Arial"/>
          <w:sz w:val="22"/>
          <w:szCs w:val="22"/>
        </w:rPr>
        <w:t xml:space="preserve">r leur indépendance, notamment </w:t>
      </w:r>
      <w:r w:rsidR="00AB3D77">
        <w:rPr>
          <w:rFonts w:ascii="Arial" w:hAnsi="Arial" w:cs="Arial"/>
          <w:sz w:val="22"/>
          <w:szCs w:val="22"/>
        </w:rPr>
        <w:t xml:space="preserve">de </w:t>
      </w:r>
      <w:r w:rsidR="00381922">
        <w:rPr>
          <w:rFonts w:ascii="Arial" w:hAnsi="Arial" w:cs="Arial"/>
          <w:sz w:val="22"/>
          <w:szCs w:val="22"/>
        </w:rPr>
        <w:t>l’immunité de juridiction pour les actes relatifs à la collaboration avec la Cou</w:t>
      </w:r>
      <w:r w:rsidR="00AB3D77">
        <w:rPr>
          <w:rFonts w:ascii="Arial" w:hAnsi="Arial" w:cs="Arial"/>
          <w:sz w:val="22"/>
          <w:szCs w:val="22"/>
        </w:rPr>
        <w:t>r, de la liberté de circulation ou encore</w:t>
      </w:r>
      <w:r w:rsidR="00381922">
        <w:rPr>
          <w:rFonts w:ascii="Arial" w:hAnsi="Arial" w:cs="Arial"/>
          <w:sz w:val="22"/>
          <w:szCs w:val="22"/>
        </w:rPr>
        <w:t xml:space="preserve"> de l’inviolabilité des documents et du matériel relatif à la collaboration avec la Cour. </w:t>
      </w:r>
    </w:p>
    <w:p w:rsidR="00381922" w:rsidRPr="000A00EF" w:rsidRDefault="00381922" w:rsidP="00C27D88">
      <w:pPr>
        <w:jc w:val="both"/>
        <w:rPr>
          <w:rFonts w:ascii="Arial" w:hAnsi="Arial" w:cs="Arial"/>
          <w:sz w:val="22"/>
          <w:szCs w:val="22"/>
        </w:rPr>
      </w:pPr>
    </w:p>
    <w:sectPr w:rsidR="00381922" w:rsidRPr="000A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A00EF"/>
    <w:rsid w:val="001B7F98"/>
    <w:rsid w:val="002B5BB3"/>
    <w:rsid w:val="002E15A0"/>
    <w:rsid w:val="002F463E"/>
    <w:rsid w:val="003157B6"/>
    <w:rsid w:val="00381922"/>
    <w:rsid w:val="0057197E"/>
    <w:rsid w:val="00593417"/>
    <w:rsid w:val="005B3D4D"/>
    <w:rsid w:val="00605F7A"/>
    <w:rsid w:val="00771F51"/>
    <w:rsid w:val="00870D53"/>
    <w:rsid w:val="00884963"/>
    <w:rsid w:val="008B1E38"/>
    <w:rsid w:val="00A56C58"/>
    <w:rsid w:val="00AB3D77"/>
    <w:rsid w:val="00B47BF5"/>
    <w:rsid w:val="00C27D88"/>
    <w:rsid w:val="00DA3E20"/>
    <w:rsid w:val="00DE3F18"/>
    <w:rsid w:val="00E43B19"/>
    <w:rsid w:val="00E83F26"/>
    <w:rsid w:val="00E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173D5B6-4DB6-4A52-926D-5A2E7A7D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DP5431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5431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/sftpecos/Dossiers_parlementaires/5431/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3D5C532-A907-4AF3-AA6A-6D57D2092026}"/>
</file>

<file path=customXml/itemProps2.xml><?xml version="1.0" encoding="utf-8"?>
<ds:datastoreItem xmlns:ds="http://schemas.openxmlformats.org/officeDocument/2006/customXml" ds:itemID="{1CD146F9-C611-42FE-93FB-2DC7DD772641}"/>
</file>

<file path=customXml/itemProps3.xml><?xml version="1.0" encoding="utf-8"?>
<ds:datastoreItem xmlns:ds="http://schemas.openxmlformats.org/officeDocument/2006/customXml" ds:itemID="{1C23C6F5-102C-4957-BFB4-5233EED2B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5431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