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A70" w:rsidRPr="00A91EA6" w:rsidRDefault="00C73A70" w:rsidP="00A91EA6">
      <w:pPr>
        <w:jc w:val="center"/>
        <w:rPr>
          <w:rFonts w:ascii="Arial" w:hAnsi="Arial" w:cs="Arial"/>
          <w:b/>
          <w:u w:val="single"/>
          <w:lang w:val="fr-LU"/>
        </w:rPr>
      </w:pPr>
      <w:bookmarkStart w:id="0" w:name="_GoBack"/>
      <w:bookmarkEnd w:id="0"/>
      <w:r w:rsidRPr="00A91EA6">
        <w:rPr>
          <w:rFonts w:ascii="Arial" w:hAnsi="Arial" w:cs="Arial"/>
          <w:b/>
          <w:u w:val="single"/>
          <w:lang w:val="fr-LU"/>
        </w:rPr>
        <w:t>Résumé du projet de loi 5425</w:t>
      </w:r>
    </w:p>
    <w:p w:rsidR="00C73A70" w:rsidRPr="00A91EA6" w:rsidRDefault="00C73A70" w:rsidP="00C73A70">
      <w:pPr>
        <w:jc w:val="both"/>
        <w:rPr>
          <w:rFonts w:ascii="Arial" w:hAnsi="Arial" w:cs="Arial"/>
          <w:lang w:val="fr-LU"/>
        </w:rPr>
      </w:pPr>
    </w:p>
    <w:p w:rsidR="00C73A70" w:rsidRPr="00A91EA6" w:rsidRDefault="00C73A70" w:rsidP="00C73A70">
      <w:pPr>
        <w:jc w:val="both"/>
        <w:rPr>
          <w:rFonts w:ascii="Arial" w:hAnsi="Arial" w:cs="Arial"/>
          <w:lang w:val="fr-LU"/>
        </w:rPr>
      </w:pPr>
      <w:r w:rsidRPr="00A91EA6">
        <w:rPr>
          <w:rFonts w:ascii="Arial" w:hAnsi="Arial" w:cs="Arial"/>
          <w:lang w:val="fr-LU"/>
        </w:rPr>
        <w:t xml:space="preserve">Le présent projet de loi a pour objet l'approbation de l'Accord de dialogue politique et de coopération entre la Communauté européenne et ses Etats membres, et les Etats d'Amérique centrale, à savoir Costa </w:t>
      </w:r>
      <w:proofErr w:type="spellStart"/>
      <w:r w:rsidRPr="00A91EA6">
        <w:rPr>
          <w:rFonts w:ascii="Arial" w:hAnsi="Arial" w:cs="Arial"/>
          <w:lang w:val="fr-LU"/>
        </w:rPr>
        <w:t>Rica</w:t>
      </w:r>
      <w:proofErr w:type="spellEnd"/>
      <w:r w:rsidRPr="00A91EA6">
        <w:rPr>
          <w:rFonts w:ascii="Arial" w:hAnsi="Arial" w:cs="Arial"/>
          <w:lang w:val="fr-LU"/>
        </w:rPr>
        <w:t>, El Salvador, Guatemala, Honduras, Nicaragua et Panama.</w:t>
      </w:r>
    </w:p>
    <w:p w:rsidR="00C73A70" w:rsidRPr="00A91EA6" w:rsidRDefault="00C73A70" w:rsidP="00C73A70">
      <w:pPr>
        <w:jc w:val="both"/>
        <w:rPr>
          <w:rFonts w:ascii="Arial" w:hAnsi="Arial" w:cs="Arial"/>
          <w:lang w:val="fr-LU"/>
        </w:rPr>
      </w:pPr>
    </w:p>
    <w:p w:rsidR="00C73A70" w:rsidRPr="00A91EA6" w:rsidRDefault="00C666A4" w:rsidP="00C73A70">
      <w:pPr>
        <w:jc w:val="both"/>
        <w:rPr>
          <w:rFonts w:ascii="Arial" w:hAnsi="Arial" w:cs="Arial"/>
          <w:lang w:val="fr-LU"/>
        </w:rPr>
      </w:pPr>
      <w:r>
        <w:rPr>
          <w:rFonts w:ascii="Arial" w:hAnsi="Arial" w:cs="Arial"/>
          <w:lang w:val="fr-LU"/>
        </w:rPr>
        <w:t>Par le passé, l</w:t>
      </w:r>
      <w:r w:rsidR="00C73A70" w:rsidRPr="00A91EA6">
        <w:rPr>
          <w:rFonts w:ascii="Arial" w:hAnsi="Arial" w:cs="Arial"/>
          <w:lang w:val="fr-LU"/>
        </w:rPr>
        <w:t>'Amérique centrale a été affectée à plusieurs reprises par des conflits internes</w:t>
      </w:r>
      <w:r>
        <w:rPr>
          <w:rFonts w:ascii="Arial" w:hAnsi="Arial" w:cs="Arial"/>
          <w:lang w:val="fr-LU"/>
        </w:rPr>
        <w:t xml:space="preserve">, mais semble être entre-temps sortie de l’ère de l’instabilité politique et a réalisé des progrès notables au niveau de la résolution des conflits, de la démocratie et du développement économique. Par contre, la région reste régulièrement </w:t>
      </w:r>
      <w:r w:rsidR="00C73A70" w:rsidRPr="00A91EA6">
        <w:rPr>
          <w:rFonts w:ascii="Arial" w:hAnsi="Arial" w:cs="Arial"/>
          <w:lang w:val="fr-LU"/>
        </w:rPr>
        <w:t xml:space="preserve">victime de catastrophes naturelles. </w:t>
      </w:r>
    </w:p>
    <w:p w:rsidR="00C73A70" w:rsidRDefault="00C73A70" w:rsidP="00C73A70">
      <w:pPr>
        <w:jc w:val="both"/>
        <w:rPr>
          <w:rFonts w:ascii="Arial" w:hAnsi="Arial" w:cs="Arial"/>
          <w:lang w:val="fr-LU"/>
        </w:rPr>
      </w:pPr>
    </w:p>
    <w:p w:rsidR="00C641E0" w:rsidRDefault="00C641E0" w:rsidP="00C73A70">
      <w:pPr>
        <w:jc w:val="both"/>
        <w:rPr>
          <w:rFonts w:ascii="Arial" w:hAnsi="Arial" w:cs="Arial"/>
          <w:lang w:val="fr-LU"/>
        </w:rPr>
      </w:pPr>
      <w:r>
        <w:rPr>
          <w:rFonts w:ascii="Arial" w:hAnsi="Arial" w:cs="Arial"/>
          <w:lang w:val="fr-LU"/>
        </w:rPr>
        <w:t xml:space="preserve">Les objectifs poursuivis par l’Accord sont </w:t>
      </w:r>
      <w:r w:rsidR="0027239A">
        <w:rPr>
          <w:rFonts w:ascii="Arial" w:hAnsi="Arial" w:cs="Arial"/>
          <w:lang w:val="fr-LU"/>
        </w:rPr>
        <w:t xml:space="preserve">notamment </w:t>
      </w:r>
      <w:r>
        <w:rPr>
          <w:rFonts w:ascii="Arial" w:hAnsi="Arial" w:cs="Arial"/>
          <w:lang w:val="fr-LU"/>
        </w:rPr>
        <w:t xml:space="preserve">les suivants : </w:t>
      </w:r>
    </w:p>
    <w:p w:rsidR="00C641E0" w:rsidRDefault="00C641E0" w:rsidP="00C73A70">
      <w:pPr>
        <w:jc w:val="both"/>
        <w:rPr>
          <w:rFonts w:ascii="Arial" w:hAnsi="Arial" w:cs="Arial"/>
          <w:lang w:val="fr-LU"/>
        </w:rPr>
      </w:pPr>
    </w:p>
    <w:p w:rsidR="00C641E0" w:rsidRDefault="00C641E0" w:rsidP="00E67A74">
      <w:pPr>
        <w:numPr>
          <w:ilvl w:val="0"/>
          <w:numId w:val="3"/>
        </w:numPr>
        <w:jc w:val="both"/>
        <w:rPr>
          <w:rFonts w:ascii="Arial" w:hAnsi="Arial" w:cs="Arial"/>
          <w:lang w:val="fr-LU"/>
        </w:rPr>
      </w:pPr>
      <w:r>
        <w:rPr>
          <w:rFonts w:ascii="Arial" w:hAnsi="Arial" w:cs="Arial"/>
          <w:lang w:val="fr-LU"/>
        </w:rPr>
        <w:t>le renforcement du dialogue politique dit de « San José » pour consolider la paix et la démocratisation</w:t>
      </w:r>
      <w:r w:rsidR="00E67A74">
        <w:rPr>
          <w:rFonts w:ascii="Arial" w:hAnsi="Arial" w:cs="Arial"/>
          <w:lang w:val="fr-LU"/>
        </w:rPr>
        <w:t> ;</w:t>
      </w:r>
    </w:p>
    <w:p w:rsidR="00417D72" w:rsidRDefault="00417D72" w:rsidP="00E67A74">
      <w:pPr>
        <w:numPr>
          <w:ilvl w:val="0"/>
          <w:numId w:val="3"/>
        </w:numPr>
        <w:jc w:val="both"/>
        <w:rPr>
          <w:rFonts w:ascii="Arial" w:hAnsi="Arial" w:cs="Arial"/>
          <w:lang w:val="fr-LU"/>
        </w:rPr>
      </w:pPr>
      <w:r>
        <w:rPr>
          <w:rFonts w:ascii="Arial" w:hAnsi="Arial" w:cs="Arial"/>
          <w:lang w:val="fr-LU"/>
        </w:rPr>
        <w:t>la coopération dans la lutte contre la drogue et la criminalité ;</w:t>
      </w:r>
    </w:p>
    <w:p w:rsidR="00C641E0" w:rsidRDefault="00C641E0" w:rsidP="00E67A74">
      <w:pPr>
        <w:numPr>
          <w:ilvl w:val="0"/>
          <w:numId w:val="3"/>
        </w:numPr>
        <w:jc w:val="both"/>
        <w:rPr>
          <w:rFonts w:ascii="Arial" w:hAnsi="Arial" w:cs="Arial"/>
          <w:lang w:val="fr-LU"/>
        </w:rPr>
      </w:pPr>
      <w:r>
        <w:rPr>
          <w:rFonts w:ascii="Arial" w:hAnsi="Arial" w:cs="Arial"/>
          <w:lang w:val="fr-LU"/>
        </w:rPr>
        <w:t>le soutien du processus d’intégration régionale</w:t>
      </w:r>
      <w:r w:rsidR="00E67A74">
        <w:rPr>
          <w:rFonts w:ascii="Arial" w:hAnsi="Arial" w:cs="Arial"/>
          <w:lang w:val="fr-LU"/>
        </w:rPr>
        <w:t> ;</w:t>
      </w:r>
    </w:p>
    <w:p w:rsidR="00C641E0" w:rsidRDefault="00C641E0" w:rsidP="00E67A74">
      <w:pPr>
        <w:numPr>
          <w:ilvl w:val="0"/>
          <w:numId w:val="3"/>
        </w:numPr>
        <w:jc w:val="both"/>
        <w:rPr>
          <w:rFonts w:ascii="Arial" w:hAnsi="Arial" w:cs="Arial"/>
          <w:lang w:val="fr-LU"/>
        </w:rPr>
      </w:pPr>
      <w:r>
        <w:rPr>
          <w:rFonts w:ascii="Arial" w:hAnsi="Arial" w:cs="Arial"/>
          <w:lang w:val="fr-LU"/>
        </w:rPr>
        <w:t>la création de conditions favorables à la négociation d’un accord d’association</w:t>
      </w:r>
      <w:r w:rsidR="00E67A74">
        <w:rPr>
          <w:rFonts w:ascii="Arial" w:hAnsi="Arial" w:cs="Arial"/>
          <w:lang w:val="fr-LU"/>
        </w:rPr>
        <w:t xml:space="preserve">, </w:t>
      </w:r>
      <w:r w:rsidR="00DD442D">
        <w:rPr>
          <w:rFonts w:ascii="Arial" w:hAnsi="Arial" w:cs="Arial"/>
          <w:lang w:val="fr-LU"/>
        </w:rPr>
        <w:t>qui mènerait à l’établissement d’</w:t>
      </w:r>
      <w:r w:rsidR="00E67A74">
        <w:rPr>
          <w:rFonts w:ascii="Arial" w:hAnsi="Arial" w:cs="Arial"/>
          <w:lang w:val="fr-LU"/>
        </w:rPr>
        <w:t>une zone de libre-échange ;</w:t>
      </w:r>
    </w:p>
    <w:p w:rsidR="00C641E0" w:rsidRDefault="00C641E0" w:rsidP="00E67A74">
      <w:pPr>
        <w:numPr>
          <w:ilvl w:val="0"/>
          <w:numId w:val="3"/>
        </w:numPr>
        <w:jc w:val="both"/>
        <w:rPr>
          <w:rFonts w:ascii="Arial" w:hAnsi="Arial" w:cs="Arial"/>
          <w:lang w:val="fr-LU"/>
        </w:rPr>
      </w:pPr>
      <w:r>
        <w:rPr>
          <w:rFonts w:ascii="Arial" w:hAnsi="Arial" w:cs="Arial"/>
          <w:lang w:val="fr-LU"/>
        </w:rPr>
        <w:t>la consolidation d</w:t>
      </w:r>
      <w:r w:rsidR="00B66CAF">
        <w:rPr>
          <w:rFonts w:ascii="Arial" w:hAnsi="Arial" w:cs="Arial"/>
          <w:lang w:val="fr-LU"/>
        </w:rPr>
        <w:t>e l</w:t>
      </w:r>
      <w:r>
        <w:rPr>
          <w:rFonts w:ascii="Arial" w:hAnsi="Arial" w:cs="Arial"/>
          <w:lang w:val="fr-LU"/>
        </w:rPr>
        <w:t>’Etat de droit</w:t>
      </w:r>
      <w:r w:rsidR="00E67A74">
        <w:rPr>
          <w:rFonts w:ascii="Arial" w:hAnsi="Arial" w:cs="Arial"/>
          <w:lang w:val="fr-LU"/>
        </w:rPr>
        <w:t> ;</w:t>
      </w:r>
    </w:p>
    <w:p w:rsidR="00C641E0" w:rsidRDefault="00C641E0" w:rsidP="00E67A74">
      <w:pPr>
        <w:numPr>
          <w:ilvl w:val="0"/>
          <w:numId w:val="3"/>
        </w:numPr>
        <w:jc w:val="both"/>
        <w:rPr>
          <w:rFonts w:ascii="Arial" w:hAnsi="Arial" w:cs="Arial"/>
          <w:lang w:val="fr-LU"/>
        </w:rPr>
      </w:pPr>
      <w:r>
        <w:rPr>
          <w:rFonts w:ascii="Arial" w:hAnsi="Arial" w:cs="Arial"/>
          <w:lang w:val="fr-LU"/>
        </w:rPr>
        <w:t>le développement socio-économique équitable.</w:t>
      </w:r>
    </w:p>
    <w:p w:rsidR="00C73A70" w:rsidRDefault="00C73A70" w:rsidP="00C73A70">
      <w:pPr>
        <w:jc w:val="both"/>
        <w:rPr>
          <w:rFonts w:ascii="Arial" w:hAnsi="Arial" w:cs="Arial"/>
          <w:lang w:val="fr-LU"/>
        </w:rPr>
      </w:pPr>
    </w:p>
    <w:p w:rsidR="00C73A70" w:rsidRPr="00A91EA6" w:rsidRDefault="00C73A70" w:rsidP="00C73A70">
      <w:pPr>
        <w:jc w:val="both"/>
        <w:rPr>
          <w:rFonts w:ascii="Arial" w:hAnsi="Arial" w:cs="Arial"/>
          <w:lang w:val="fr-LU"/>
        </w:rPr>
      </w:pPr>
      <w:r w:rsidRPr="00A91EA6">
        <w:rPr>
          <w:rFonts w:ascii="Arial" w:hAnsi="Arial" w:cs="Arial"/>
          <w:lang w:val="fr-LU"/>
        </w:rPr>
        <w:t>A noter aussi que l'Accord étend le champ d'application couvert par la coopération à la lutte contre le terrorisme et l'immigration illégale, en incluant notamment une clause de réadmission pour le rapatriement des immigrés illégaux, sur simple demande d</w:t>
      </w:r>
      <w:r w:rsidR="00C666A4">
        <w:rPr>
          <w:rFonts w:ascii="Arial" w:hAnsi="Arial" w:cs="Arial"/>
          <w:lang w:val="fr-LU"/>
        </w:rPr>
        <w:t>u</w:t>
      </w:r>
      <w:r w:rsidRPr="00A91EA6">
        <w:rPr>
          <w:rFonts w:ascii="Arial" w:hAnsi="Arial" w:cs="Arial"/>
          <w:lang w:val="fr-LU"/>
        </w:rPr>
        <w:t xml:space="preserve"> pays de destination, et des mesures d'assistance p</w:t>
      </w:r>
      <w:r w:rsidR="00B73264">
        <w:rPr>
          <w:rFonts w:ascii="Arial" w:hAnsi="Arial" w:cs="Arial"/>
          <w:lang w:val="fr-LU"/>
        </w:rPr>
        <w:t>ou</w:t>
      </w:r>
      <w:r w:rsidRPr="00A91EA6">
        <w:rPr>
          <w:rFonts w:ascii="Arial" w:hAnsi="Arial" w:cs="Arial"/>
          <w:lang w:val="fr-LU"/>
        </w:rPr>
        <w:t>r le contrôle aux frontières.</w:t>
      </w:r>
    </w:p>
    <w:p w:rsidR="00C73A70" w:rsidRPr="00A91EA6" w:rsidRDefault="00C73A70" w:rsidP="00C73A70">
      <w:pPr>
        <w:jc w:val="both"/>
        <w:rPr>
          <w:rFonts w:ascii="Arial" w:hAnsi="Arial" w:cs="Arial"/>
          <w:lang w:val="fr-LU"/>
        </w:rPr>
      </w:pPr>
    </w:p>
    <w:p w:rsidR="00C73A70" w:rsidRPr="00A91EA6" w:rsidRDefault="00C73A70" w:rsidP="00C73A70">
      <w:pPr>
        <w:jc w:val="both"/>
        <w:rPr>
          <w:rFonts w:ascii="Arial" w:hAnsi="Arial" w:cs="Arial"/>
          <w:lang w:val="fr-LU"/>
        </w:rPr>
      </w:pPr>
    </w:p>
    <w:p w:rsidR="00C73A70" w:rsidRPr="00A91EA6" w:rsidRDefault="00C73A70" w:rsidP="00C73A70">
      <w:pPr>
        <w:jc w:val="both"/>
        <w:rPr>
          <w:rFonts w:ascii="Arial" w:hAnsi="Arial" w:cs="Arial"/>
          <w:lang w:val="fr-LU"/>
        </w:rPr>
      </w:pPr>
    </w:p>
    <w:sectPr w:rsidR="00C73A70" w:rsidRPr="00A91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3227"/>
    <w:multiLevelType w:val="hybridMultilevel"/>
    <w:tmpl w:val="862EF89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81014"/>
    <w:multiLevelType w:val="hybridMultilevel"/>
    <w:tmpl w:val="4762F66E"/>
    <w:lvl w:ilvl="0" w:tplc="082492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27502"/>
    <w:multiLevelType w:val="hybridMultilevel"/>
    <w:tmpl w:val="7F264BF4"/>
    <w:lvl w:ilvl="0" w:tplc="082492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D50FB"/>
    <w:multiLevelType w:val="hybridMultilevel"/>
    <w:tmpl w:val="33A0F714"/>
    <w:lvl w:ilvl="0" w:tplc="082492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3A70"/>
    <w:rsid w:val="0027239A"/>
    <w:rsid w:val="002F7D98"/>
    <w:rsid w:val="00417D72"/>
    <w:rsid w:val="005E7BCE"/>
    <w:rsid w:val="00A91EA6"/>
    <w:rsid w:val="00AC68DE"/>
    <w:rsid w:val="00B66CAF"/>
    <w:rsid w:val="00B73264"/>
    <w:rsid w:val="00C641E0"/>
    <w:rsid w:val="00C666A4"/>
    <w:rsid w:val="00C73A70"/>
    <w:rsid w:val="00DD442D"/>
    <w:rsid w:val="00E6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4B777FA4-FFF5-42FD-9346-79CEF719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DP5425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5425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/sftpecos/Dossiers_parlementaires/5425/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5E6B2FD6-A90A-41BE-83D4-D9BB8EB04B63}"/>
</file>

<file path=customXml/itemProps2.xml><?xml version="1.0" encoding="utf-8"?>
<ds:datastoreItem xmlns:ds="http://schemas.openxmlformats.org/officeDocument/2006/customXml" ds:itemID="{EF28AF5D-17E8-47BB-856D-55F1D0CA7C92}"/>
</file>

<file path=customXml/itemProps3.xml><?xml version="1.0" encoding="utf-8"?>
<ds:datastoreItem xmlns:ds="http://schemas.openxmlformats.org/officeDocument/2006/customXml" ds:itemID="{1927FE02-1A8C-4EE2-8FF5-DDEB988882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1295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Résumé du projet de loi 5425</vt:lpstr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Chambre</dc:creator>
  <cp:keywords/>
  <dc:description/>
  <cp:lastModifiedBy>SYSTEM</cp:lastModifiedBy>
  <cp:revision>2</cp:revision>
  <dcterms:created xsi:type="dcterms:W3CDTF">2024-02-21T07:40:00Z</dcterms:created>
  <dcterms:modified xsi:type="dcterms:W3CDTF">2024-02-21T07:40:00Z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