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5EC" w:rsidRDefault="002435EC" w:rsidP="002435EC">
      <w:pPr>
        <w:jc w:val="center"/>
        <w:rPr>
          <w:rFonts w:ascii="Arial" w:hAnsi="Arial"/>
          <w:b/>
          <w:snapToGrid w:val="0"/>
          <w:sz w:val="28"/>
          <w:lang w:val="fr-LU" w:eastAsia="en-US"/>
        </w:rPr>
      </w:pPr>
      <w:bookmarkStart w:id="0" w:name="_GoBack"/>
      <w:bookmarkEnd w:id="0"/>
      <w:r>
        <w:rPr>
          <w:rFonts w:ascii="Arial" w:hAnsi="Arial"/>
          <w:b/>
          <w:snapToGrid w:val="0"/>
          <w:sz w:val="28"/>
          <w:lang w:val="fr-LU" w:eastAsia="en-US"/>
        </w:rPr>
        <w:t>Projet de loi 5386</w:t>
      </w:r>
    </w:p>
    <w:p w:rsidR="002435EC" w:rsidRDefault="002435EC" w:rsidP="002435EC">
      <w:pPr>
        <w:pStyle w:val="Textebrut"/>
        <w:jc w:val="center"/>
        <w:rPr>
          <w:rFonts w:ascii="Arial" w:hAnsi="Arial"/>
          <w:b/>
          <w:sz w:val="28"/>
          <w:lang w:val="fr-LU"/>
        </w:rPr>
      </w:pPr>
    </w:p>
    <w:p w:rsidR="002435EC" w:rsidRPr="00C8667A" w:rsidRDefault="002435EC" w:rsidP="002435EC">
      <w:pPr>
        <w:numPr>
          <w:ilvl w:val="0"/>
          <w:numId w:val="1"/>
        </w:numPr>
        <w:jc w:val="both"/>
        <w:rPr>
          <w:rFonts w:ascii="Arial" w:hAnsi="Arial" w:cs="Arial"/>
          <w:sz w:val="22"/>
        </w:rPr>
      </w:pPr>
      <w:r w:rsidRPr="00C8667A">
        <w:rPr>
          <w:rFonts w:ascii="Arial" w:hAnsi="Arial" w:cs="Arial"/>
          <w:sz w:val="22"/>
        </w:rPr>
        <w:t>transposant la directive 2003/88/CE du Parlement européen et du Conseil du 4 novembre 2003 concernant certains aspects de l'aménagement du temps de travail ;</w:t>
      </w:r>
    </w:p>
    <w:p w:rsidR="002435EC" w:rsidRPr="00C8667A" w:rsidRDefault="002435EC" w:rsidP="002435EC">
      <w:pPr>
        <w:numPr>
          <w:ilvl w:val="0"/>
          <w:numId w:val="1"/>
        </w:numPr>
        <w:jc w:val="both"/>
        <w:rPr>
          <w:rFonts w:ascii="Arial" w:hAnsi="Arial" w:cs="Arial"/>
          <w:sz w:val="22"/>
        </w:rPr>
      </w:pPr>
      <w:r w:rsidRPr="00C8667A">
        <w:rPr>
          <w:rFonts w:ascii="Arial" w:hAnsi="Arial" w:cs="Arial"/>
          <w:sz w:val="22"/>
        </w:rPr>
        <w:t>modifiant la loi modifiée du 7 juin 1937 ayant pour objet la réforme de la loi du 31 octobre 1919 portant règlement légal du louage de services des employés privés ;</w:t>
      </w:r>
    </w:p>
    <w:p w:rsidR="002435EC" w:rsidRPr="00C8667A" w:rsidRDefault="002435EC" w:rsidP="002435EC">
      <w:pPr>
        <w:numPr>
          <w:ilvl w:val="0"/>
          <w:numId w:val="1"/>
        </w:numPr>
        <w:jc w:val="both"/>
        <w:rPr>
          <w:rFonts w:ascii="Arial" w:hAnsi="Arial" w:cs="Arial"/>
          <w:sz w:val="22"/>
        </w:rPr>
      </w:pPr>
      <w:r w:rsidRPr="00C8667A">
        <w:rPr>
          <w:rFonts w:ascii="Arial" w:hAnsi="Arial" w:cs="Arial"/>
          <w:sz w:val="22"/>
        </w:rPr>
        <w:t xml:space="preserve">modifiant la loi modifiée du 9 décembre 1970 portant réduction et réglementation de la durée de travail des ouvriers occupés dans les secteurs public et privé de l'économie ; </w:t>
      </w:r>
    </w:p>
    <w:p w:rsidR="002435EC" w:rsidRPr="00C8667A" w:rsidRDefault="002435EC" w:rsidP="002435EC">
      <w:pPr>
        <w:numPr>
          <w:ilvl w:val="0"/>
          <w:numId w:val="1"/>
        </w:numPr>
        <w:jc w:val="both"/>
        <w:rPr>
          <w:rFonts w:ascii="Arial" w:hAnsi="Arial" w:cs="Arial"/>
          <w:sz w:val="22"/>
        </w:rPr>
      </w:pPr>
      <w:r w:rsidRPr="00C8667A">
        <w:rPr>
          <w:rFonts w:ascii="Arial" w:hAnsi="Arial" w:cs="Arial"/>
          <w:sz w:val="22"/>
        </w:rPr>
        <w:t>modifiant la loi modifiée du 17 juin 1994 concernant les services de santé au travail;</w:t>
      </w:r>
    </w:p>
    <w:p w:rsidR="002435EC" w:rsidRPr="00C8667A" w:rsidRDefault="002435EC" w:rsidP="002435EC">
      <w:pPr>
        <w:numPr>
          <w:ilvl w:val="0"/>
          <w:numId w:val="1"/>
        </w:numPr>
        <w:jc w:val="both"/>
        <w:rPr>
          <w:rFonts w:ascii="Arial" w:hAnsi="Arial" w:cs="Arial"/>
          <w:sz w:val="22"/>
        </w:rPr>
      </w:pPr>
      <w:r w:rsidRPr="00C8667A">
        <w:rPr>
          <w:rFonts w:ascii="Arial" w:hAnsi="Arial" w:cs="Arial"/>
          <w:sz w:val="22"/>
        </w:rPr>
        <w:t>modifiant la loi du 20 décembre 2002 portant 1. transposition de la directive 96/71/CE du Parlement européen et du Conseil du 16 décembre 1996 concernant le détachement de travailleurs effectué dans le cadre d'une prestation de services; 2. réglementation du contrôle de l'application du droit du travail</w:t>
      </w:r>
    </w:p>
    <w:p w:rsidR="002435EC" w:rsidRDefault="002435EC" w:rsidP="002435EC">
      <w:pPr>
        <w:pStyle w:val="Textebrut"/>
        <w:rPr>
          <w:rFonts w:ascii="Arial" w:hAnsi="Arial"/>
          <w:b/>
          <w:sz w:val="28"/>
          <w:lang w:val="fr-LU"/>
        </w:rPr>
      </w:pPr>
    </w:p>
    <w:p w:rsidR="002435EC" w:rsidRDefault="002435EC" w:rsidP="002435EC">
      <w:pPr>
        <w:jc w:val="both"/>
        <w:rPr>
          <w:rFonts w:ascii="Arial" w:hAnsi="Arial"/>
          <w:sz w:val="22"/>
          <w:lang w:val="fr-LU"/>
        </w:rPr>
      </w:pPr>
      <w:r>
        <w:rPr>
          <w:rFonts w:ascii="Arial" w:hAnsi="Arial"/>
          <w:sz w:val="22"/>
          <w:lang w:val="fr-LU"/>
        </w:rPr>
        <w:t xml:space="preserve">Le projet de loi sous rubrique vise principalement à transposer la directive 2003/88/CE du Conseil du 4 novembre 2003 concernant certains aspects de l’aménagement du temps de travail. </w:t>
      </w:r>
    </w:p>
    <w:p w:rsidR="002435EC" w:rsidRDefault="002435EC" w:rsidP="002435EC">
      <w:pPr>
        <w:jc w:val="both"/>
        <w:rPr>
          <w:rFonts w:ascii="Arial" w:hAnsi="Arial"/>
          <w:sz w:val="22"/>
          <w:lang w:val="fr-LU"/>
        </w:rPr>
      </w:pPr>
    </w:p>
    <w:p w:rsidR="002435EC" w:rsidRDefault="002435EC" w:rsidP="002435EC">
      <w:pPr>
        <w:jc w:val="both"/>
        <w:rPr>
          <w:rFonts w:ascii="Arial" w:hAnsi="Arial"/>
          <w:sz w:val="22"/>
          <w:lang w:val="fr-LU"/>
        </w:rPr>
      </w:pPr>
      <w:r>
        <w:rPr>
          <w:rFonts w:ascii="Arial" w:hAnsi="Arial"/>
          <w:sz w:val="22"/>
          <w:lang w:val="fr-LU"/>
        </w:rPr>
        <w:t xml:space="preserve">Cette directive vient remplacer la directive 93/104/CE du Conseil du 23 novembre 1993 telle que complétée et modifiée par la directive 2000/34/CE du Parlement et du Conseil du 22 juin 2000. Par souci de clarté, il a été jugé opportun de reprendre les dispositions de ces deux directives et de les consolider dans un seul texte. </w:t>
      </w:r>
    </w:p>
    <w:p w:rsidR="002435EC" w:rsidRDefault="002435EC" w:rsidP="002435EC">
      <w:pPr>
        <w:jc w:val="both"/>
        <w:rPr>
          <w:rFonts w:ascii="Arial" w:hAnsi="Arial"/>
          <w:sz w:val="22"/>
          <w:lang w:val="fr-LU"/>
        </w:rPr>
      </w:pPr>
    </w:p>
    <w:p w:rsidR="002435EC" w:rsidRDefault="002435EC" w:rsidP="002435EC">
      <w:pPr>
        <w:jc w:val="both"/>
        <w:rPr>
          <w:rFonts w:ascii="Arial" w:hAnsi="Arial"/>
          <w:sz w:val="22"/>
          <w:lang w:val="fr-LU"/>
        </w:rPr>
      </w:pPr>
      <w:r>
        <w:rPr>
          <w:rFonts w:ascii="Arial" w:hAnsi="Arial"/>
          <w:sz w:val="22"/>
          <w:lang w:val="fr-LU"/>
        </w:rPr>
        <w:t>Il est rappelé dans ce contexte que la directive du 23 novembre 1993 a posé pour la première fois au niveau européen des règles communes en matière d’aménagement du temps de travail.</w:t>
      </w:r>
    </w:p>
    <w:p w:rsidR="002435EC" w:rsidRDefault="002435EC" w:rsidP="002435EC">
      <w:pPr>
        <w:jc w:val="both"/>
        <w:rPr>
          <w:rFonts w:ascii="Arial" w:hAnsi="Arial"/>
          <w:sz w:val="22"/>
          <w:lang w:val="fr-LU"/>
        </w:rPr>
      </w:pPr>
    </w:p>
    <w:p w:rsidR="002435EC" w:rsidRDefault="002435EC" w:rsidP="002435EC">
      <w:pPr>
        <w:jc w:val="both"/>
        <w:rPr>
          <w:rFonts w:ascii="Arial" w:hAnsi="Arial"/>
          <w:sz w:val="22"/>
          <w:lang w:val="fr-LU"/>
        </w:rPr>
      </w:pPr>
      <w:r>
        <w:rPr>
          <w:rFonts w:ascii="Arial" w:hAnsi="Arial"/>
          <w:sz w:val="22"/>
          <w:lang w:val="fr-LU"/>
        </w:rPr>
        <w:t xml:space="preserve">Si en principe la durée et l’organisation du temps de travail est du ressort de chaque Etat membre de l’Union européenne, il est paru opportun de prévoir des prescriptions minimales concernant certains aspects du temps de travail applicables dans tous les Etats membres de l’Union européenne et susceptibles d’améliorer les conditions de travail des travailleurs. En vertu de l’article 31 de la Charte des droits fondamentaux de l’Union européenne, tout travailleur a droit à des conditions de travail qui respectent sa santé et sa sécurité. Une durée de travail excessive, un repos insuffisant ou encore un rythme de travail irrégulier peut avoir des conséquences néfastes sur la santé et la sécurité des travailleurs. L’aménagement du temps de travail apparaît dès lors comme le meilleur garant de la protection de la santé et de la sécurité des travailleurs qui ne sauraient être subordonnées à des considérations purement économiques. </w:t>
      </w:r>
    </w:p>
    <w:p w:rsidR="002435EC" w:rsidRDefault="002435EC" w:rsidP="002435EC">
      <w:pPr>
        <w:jc w:val="both"/>
        <w:rPr>
          <w:rFonts w:ascii="Arial" w:hAnsi="Arial"/>
          <w:sz w:val="22"/>
          <w:lang w:val="fr-LU"/>
        </w:rPr>
      </w:pPr>
    </w:p>
    <w:p w:rsidR="002435EC" w:rsidRDefault="002435EC" w:rsidP="002435EC">
      <w:pPr>
        <w:jc w:val="both"/>
        <w:rPr>
          <w:rFonts w:ascii="Arial" w:hAnsi="Arial"/>
          <w:sz w:val="22"/>
          <w:lang w:val="fr-LU"/>
        </w:rPr>
      </w:pPr>
      <w:r>
        <w:rPr>
          <w:rFonts w:ascii="Arial" w:hAnsi="Arial"/>
          <w:sz w:val="22"/>
          <w:lang w:val="fr-LU"/>
        </w:rPr>
        <w:t xml:space="preserve">Si les grandes lignes de la directive de 2003 sont d’ores et déjà intégrées en droit luxembourgeois, il n’en demeure pas moins que cette directive contient des éléments qui nécessitent une adaptation de notre droit du travail, et plus particulièrement de notre législation en matière de temps de travail. </w:t>
      </w:r>
    </w:p>
    <w:p w:rsidR="002435EC" w:rsidRDefault="002435EC" w:rsidP="002435EC">
      <w:pPr>
        <w:jc w:val="both"/>
        <w:rPr>
          <w:rFonts w:ascii="Arial" w:hAnsi="Arial"/>
          <w:sz w:val="22"/>
          <w:lang w:val="fr-LU"/>
        </w:rPr>
      </w:pPr>
    </w:p>
    <w:p w:rsidR="002435EC" w:rsidRDefault="002435EC" w:rsidP="002435EC">
      <w:pPr>
        <w:jc w:val="both"/>
        <w:rPr>
          <w:rFonts w:ascii="Arial" w:hAnsi="Arial"/>
          <w:sz w:val="22"/>
          <w:lang w:val="fr-LU"/>
        </w:rPr>
      </w:pPr>
      <w:r>
        <w:rPr>
          <w:rFonts w:ascii="Arial" w:hAnsi="Arial"/>
          <w:sz w:val="22"/>
          <w:lang w:val="fr-LU"/>
        </w:rPr>
        <w:t xml:space="preserve">Parmi ces adaptations, il échet de citer en premier lieu l’introduction en droit national de la notion de période nocturne et du travailleur de nuit. </w:t>
      </w:r>
    </w:p>
    <w:p w:rsidR="002435EC" w:rsidRDefault="002435EC" w:rsidP="002435EC">
      <w:pPr>
        <w:jc w:val="both"/>
        <w:rPr>
          <w:rFonts w:ascii="Arial" w:hAnsi="Arial"/>
          <w:sz w:val="22"/>
          <w:lang w:val="fr-LU"/>
        </w:rPr>
      </w:pPr>
    </w:p>
    <w:p w:rsidR="002435EC" w:rsidRDefault="002435EC" w:rsidP="002435EC">
      <w:pPr>
        <w:jc w:val="both"/>
        <w:rPr>
          <w:rFonts w:ascii="Arial" w:hAnsi="Arial"/>
          <w:sz w:val="22"/>
          <w:lang w:val="fr-LU"/>
        </w:rPr>
      </w:pPr>
      <w:r>
        <w:rPr>
          <w:rFonts w:ascii="Arial" w:hAnsi="Arial"/>
          <w:sz w:val="22"/>
          <w:lang w:val="fr-LU"/>
        </w:rPr>
        <w:t>Si plusieurs textes se référent d’ores et déjà au travail de nuit tels que la loi du 21 mars 2001 concernant la protection des jeunes travailleurs ou la loi du 1</w:t>
      </w:r>
      <w:r w:rsidRPr="00577614">
        <w:rPr>
          <w:rFonts w:ascii="Arial" w:hAnsi="Arial"/>
          <w:sz w:val="22"/>
          <w:vertAlign w:val="superscript"/>
          <w:lang w:val="fr-LU"/>
        </w:rPr>
        <w:t>er</w:t>
      </w:r>
      <w:r>
        <w:rPr>
          <w:rFonts w:ascii="Arial" w:hAnsi="Arial"/>
          <w:sz w:val="22"/>
          <w:lang w:val="fr-LU"/>
        </w:rPr>
        <w:t xml:space="preserve"> août 2001 concernant la protection des travailleurs enceintes, accouchées et allaitantes, ces lois ne concernent que certaines catégories de travailleurs et ne constituent dès lors nullement des dispositions de portée générale. </w:t>
      </w:r>
    </w:p>
    <w:p w:rsidR="002435EC" w:rsidRDefault="002435EC" w:rsidP="002435EC">
      <w:pPr>
        <w:jc w:val="both"/>
        <w:rPr>
          <w:rFonts w:ascii="Arial" w:hAnsi="Arial"/>
          <w:sz w:val="22"/>
          <w:lang w:val="fr-LU"/>
        </w:rPr>
      </w:pPr>
    </w:p>
    <w:p w:rsidR="002435EC" w:rsidRDefault="002435EC" w:rsidP="002435EC">
      <w:pPr>
        <w:jc w:val="both"/>
        <w:rPr>
          <w:rFonts w:ascii="Arial" w:hAnsi="Arial"/>
          <w:sz w:val="22"/>
          <w:lang w:val="fr-LU"/>
        </w:rPr>
      </w:pPr>
      <w:r>
        <w:rPr>
          <w:rFonts w:ascii="Arial" w:hAnsi="Arial"/>
          <w:sz w:val="22"/>
          <w:lang w:val="fr-LU"/>
        </w:rPr>
        <w:lastRenderedPageBreak/>
        <w:t xml:space="preserve">Il est précisé dès l’ingrés que le régime des travailleurs du secteur HORECA, consacré par la loi du 20 décembre 2002, n’est pas remis en question par le biais du présent projet de loi. Il est rappelé qu’en matière de travail de nuit, cette loi garantit au travailleur de ce secteur un supplément de rémunération, et en tant que telle, elle réglemente donc le travail de nuit. Le projet de loi sous rubrique vise le statut du travailleur de nuit, notamment au regard de la sécurité et de la protection de la santé au travail. </w:t>
      </w:r>
    </w:p>
    <w:p w:rsidR="002435EC" w:rsidRDefault="002435EC" w:rsidP="002435EC">
      <w:pPr>
        <w:jc w:val="both"/>
        <w:rPr>
          <w:rFonts w:ascii="Arial" w:hAnsi="Arial"/>
          <w:sz w:val="22"/>
          <w:lang w:val="fr-LU"/>
        </w:rPr>
      </w:pPr>
    </w:p>
    <w:p w:rsidR="002435EC" w:rsidRDefault="002435EC" w:rsidP="002435EC">
      <w:pPr>
        <w:jc w:val="both"/>
        <w:rPr>
          <w:rFonts w:ascii="Arial" w:hAnsi="Arial"/>
          <w:sz w:val="22"/>
          <w:lang w:val="fr-LU"/>
        </w:rPr>
      </w:pPr>
      <w:r>
        <w:rPr>
          <w:rFonts w:ascii="Arial" w:hAnsi="Arial"/>
          <w:sz w:val="22"/>
          <w:lang w:val="fr-LU"/>
        </w:rPr>
        <w:t xml:space="preserve">Le projet de loi sous examen introduit ensuite de nouvelles possibilités de dérogations par rapport à certaines dispositions relatives au temps de travail tant des employés privés que des ouvriers, plus particulièrement en matière de temps de pause, de repos journalier et hebdomadaire, de durée du travail de nuit ou encore de période de référence. </w:t>
      </w:r>
    </w:p>
    <w:p w:rsidR="002435EC" w:rsidRDefault="002435EC" w:rsidP="002435EC">
      <w:pPr>
        <w:jc w:val="both"/>
        <w:rPr>
          <w:rFonts w:ascii="Arial" w:hAnsi="Arial"/>
          <w:sz w:val="22"/>
          <w:lang w:val="fr-LU"/>
        </w:rPr>
      </w:pPr>
    </w:p>
    <w:p w:rsidR="002435EC" w:rsidRDefault="002435EC" w:rsidP="002435EC">
      <w:pPr>
        <w:jc w:val="both"/>
        <w:rPr>
          <w:rFonts w:ascii="Arial" w:hAnsi="Arial"/>
          <w:sz w:val="22"/>
          <w:lang w:val="fr-LU"/>
        </w:rPr>
      </w:pPr>
      <w:r>
        <w:rPr>
          <w:rFonts w:ascii="Arial" w:hAnsi="Arial"/>
          <w:sz w:val="22"/>
          <w:lang w:val="fr-LU"/>
        </w:rPr>
        <w:t>Ces dérogations sont toutefois limitées à des activités et des circonstances limitativement énumérées. Ces dérogations sont également soumises à un accord issu du dialogue social qui peut prendre la forme d’une convention collective ou d’un accord en matière de dialogue social interprofessionnel voire d’un accord d’entreprise. Ce faisant, le projet de loi sous rubrique renforce en même temps le principe du partenariat social.</w:t>
      </w:r>
    </w:p>
    <w:p w:rsidR="002435EC" w:rsidRDefault="002435EC" w:rsidP="002435EC">
      <w:pPr>
        <w:jc w:val="both"/>
        <w:rPr>
          <w:rFonts w:ascii="Arial" w:hAnsi="Arial"/>
          <w:sz w:val="22"/>
          <w:lang w:val="fr-LU"/>
        </w:rPr>
      </w:pPr>
    </w:p>
    <w:p w:rsidR="002435EC" w:rsidRDefault="002435EC" w:rsidP="002435EC">
      <w:pPr>
        <w:jc w:val="both"/>
        <w:rPr>
          <w:rFonts w:ascii="Arial" w:hAnsi="Arial"/>
          <w:sz w:val="22"/>
          <w:lang w:val="fr-LU"/>
        </w:rPr>
      </w:pPr>
      <w:r>
        <w:rPr>
          <w:rFonts w:ascii="Arial" w:hAnsi="Arial"/>
          <w:sz w:val="22"/>
          <w:lang w:val="fr-LU"/>
        </w:rPr>
        <w:t xml:space="preserve">A noter encore que ces dérogations ne sont admises que si les conventions collectives, les accords en matière de dialogue social ou encore les accords d’entreprise contiennent des dispositions garantissant des périodes équivalentes de repos compensatoire accordées aux travailleurs concernés. </w:t>
      </w:r>
    </w:p>
    <w:p w:rsidR="002435EC" w:rsidRDefault="002435EC" w:rsidP="002435EC">
      <w:pPr>
        <w:jc w:val="both"/>
        <w:rPr>
          <w:rFonts w:ascii="Arial" w:hAnsi="Arial"/>
          <w:sz w:val="22"/>
          <w:lang w:val="fr-LU"/>
        </w:rPr>
      </w:pPr>
    </w:p>
    <w:p w:rsidR="002435EC" w:rsidRDefault="002435EC" w:rsidP="002435EC">
      <w:pPr>
        <w:jc w:val="both"/>
        <w:rPr>
          <w:rFonts w:ascii="Arial" w:hAnsi="Arial"/>
          <w:sz w:val="22"/>
          <w:lang w:val="fr-LU"/>
        </w:rPr>
      </w:pPr>
      <w:r>
        <w:rPr>
          <w:rFonts w:ascii="Arial" w:hAnsi="Arial"/>
          <w:sz w:val="22"/>
          <w:lang w:val="fr-LU"/>
        </w:rPr>
        <w:t xml:space="preserve">Le présent projet de loi vient également compléter la loi du 17 juin 1994 concernant les services de santé au travail en prévoyant pour les travailleurs de nuit, à l’instar de ceux qui occupent des postes à risques, une évaluation de leur santé préalablement à leur affectation ainsi qu’une fois affectés. Dans cette dernière hypothèse, l’évaluation doit avoir lieu à des intervalles réguliers. Le projet de loi définit également en droit luxembourgeois, dans le cadre de la loi du 17 juin 1994 précitée, les postes dont le travail comporte des risques particuliers ou des tensions physiques ou mentales importantes. Sont considérées comme tels, les activités qui aggravent la diminution de vigilance du travailleur de nuit, ainsi que celles qui exigent de ces mêmes travailleurs une augmentation de l’activation biologique. </w:t>
      </w:r>
    </w:p>
    <w:p w:rsidR="002435EC" w:rsidRDefault="002435EC" w:rsidP="002435EC">
      <w:pPr>
        <w:jc w:val="both"/>
        <w:rPr>
          <w:rFonts w:ascii="Arial" w:hAnsi="Arial"/>
          <w:sz w:val="22"/>
          <w:lang w:val="fr-LU"/>
        </w:rPr>
      </w:pPr>
    </w:p>
    <w:p w:rsidR="002435EC" w:rsidRDefault="002435EC" w:rsidP="002435EC">
      <w:pPr>
        <w:jc w:val="both"/>
        <w:rPr>
          <w:rFonts w:ascii="Arial" w:hAnsi="Arial"/>
          <w:sz w:val="22"/>
          <w:lang w:val="fr-LU"/>
        </w:rPr>
      </w:pPr>
      <w:r>
        <w:rPr>
          <w:rFonts w:ascii="Arial" w:hAnsi="Arial"/>
          <w:sz w:val="22"/>
          <w:lang w:val="fr-LU"/>
        </w:rPr>
        <w:t xml:space="preserve">Le projet de loi modifie encore la loi du 17 juin 1994 précitée pour préciser que les travailleurs qui souffrent de problèmes de santé reconnus, liés au fait que ces travailleurs accomplissent un travail de nuit, sont transférés, dans la mesure du possible, à un travail de jour pour lequel ils sont aptes. En l’état actuel de notre droit, le travailleur de nuit peut théoriquement déjà bénéficier d’un transfert de poste, notre droit du travail disposant en effet que l’employeur est tenu, dans certaines conditions, d’affecter le travailleur déclaré inapte pour un poste à un autre poste, pour autant bien évidemment qu’un tel transfert soit possible. L’avantage du texte sous rubrique est de créer expressément dans le chef des travailleurs de nuit souffrant de problèmes de santé liés à leur travail la possibilité d’un transfert vers un poste de jour. </w:t>
      </w:r>
    </w:p>
    <w:p w:rsidR="002435EC" w:rsidRDefault="002435EC" w:rsidP="002435EC">
      <w:pPr>
        <w:jc w:val="both"/>
        <w:rPr>
          <w:rFonts w:ascii="Arial" w:hAnsi="Arial"/>
          <w:sz w:val="22"/>
          <w:lang w:val="fr-LU"/>
        </w:rPr>
      </w:pPr>
    </w:p>
    <w:p w:rsidR="002435EC" w:rsidRDefault="002435EC" w:rsidP="002435EC">
      <w:pPr>
        <w:jc w:val="both"/>
        <w:rPr>
          <w:rFonts w:ascii="Arial" w:hAnsi="Arial"/>
          <w:sz w:val="22"/>
          <w:lang w:val="fr-LU"/>
        </w:rPr>
      </w:pPr>
      <w:r>
        <w:rPr>
          <w:rFonts w:ascii="Arial" w:hAnsi="Arial"/>
          <w:sz w:val="22"/>
          <w:lang w:val="fr-LU"/>
        </w:rPr>
        <w:t>A noter encore que les travailleurs mobiles sont exclus du champ d’application des dispositions relatives au repos journalier, au temps de pause, au repos hebdomadaire ou encore à la durée du travail de nuit. Le projet de loi définit par ailleurs les travailleurs mobiles. Il s’agit des travailleurs qui font partie du personnel roulant ou navigant qui sont au service d’une entreprise effectuant des services de transport de passagers ou de marchandises par route, air, ou voie navigable. S’il est exclu du champ d’application de certaines dispositions, le travailleur mobile se voit toutefois reconnaître formellement le droit à un repos suffisant celui-ci étant également défini dans le cadre du projet de loi sous rubrique.</w:t>
      </w:r>
    </w:p>
    <w:p w:rsidR="002435EC" w:rsidRDefault="002435EC" w:rsidP="002435EC">
      <w:pPr>
        <w:jc w:val="both"/>
        <w:rPr>
          <w:rFonts w:ascii="Arial" w:hAnsi="Arial"/>
          <w:sz w:val="22"/>
          <w:lang w:val="fr-LU"/>
        </w:rPr>
      </w:pPr>
    </w:p>
    <w:p w:rsidR="002435EC" w:rsidRDefault="002435EC" w:rsidP="002435EC">
      <w:pPr>
        <w:jc w:val="both"/>
        <w:rPr>
          <w:rFonts w:ascii="Arial" w:hAnsi="Arial"/>
          <w:sz w:val="22"/>
          <w:lang w:val="fr-LU"/>
        </w:rPr>
      </w:pPr>
      <w:r>
        <w:rPr>
          <w:rFonts w:ascii="Arial" w:hAnsi="Arial"/>
          <w:sz w:val="22"/>
          <w:lang w:val="fr-LU"/>
        </w:rPr>
        <w:t xml:space="preserve">Enfin le projet de loi règle aussi la problématique de la durée de travail des médecins en formation. Pour ces personnes, la durée de travail hebdomadaire maximale est limitée à 48 heures en moyenne sur une période de référence maximale de 6 mois. </w:t>
      </w:r>
    </w:p>
    <w:p w:rsidR="002435EC" w:rsidRDefault="002435EC" w:rsidP="002435EC">
      <w:pPr>
        <w:jc w:val="both"/>
        <w:rPr>
          <w:rFonts w:ascii="Arial" w:hAnsi="Arial"/>
          <w:sz w:val="22"/>
          <w:lang w:val="fr-LU"/>
        </w:rPr>
      </w:pPr>
    </w:p>
    <w:p w:rsidR="002435EC" w:rsidRDefault="002435EC" w:rsidP="002435EC">
      <w:pPr>
        <w:jc w:val="both"/>
        <w:rPr>
          <w:rFonts w:ascii="Arial" w:hAnsi="Arial"/>
          <w:sz w:val="22"/>
          <w:lang w:val="fr-LU"/>
        </w:rPr>
      </w:pPr>
    </w:p>
    <w:p w:rsidR="002435EC" w:rsidRDefault="002435EC" w:rsidP="002435EC">
      <w:pPr>
        <w:jc w:val="both"/>
        <w:rPr>
          <w:rFonts w:ascii="Arial" w:hAnsi="Arial"/>
          <w:sz w:val="22"/>
          <w:lang w:val="fr-LU"/>
        </w:rPr>
      </w:pPr>
    </w:p>
    <w:p w:rsidR="002435EC" w:rsidRDefault="002435EC" w:rsidP="002435EC">
      <w:pPr>
        <w:jc w:val="both"/>
        <w:rPr>
          <w:rFonts w:ascii="Arial" w:hAnsi="Arial"/>
          <w:sz w:val="22"/>
          <w:lang w:val="fr-LU"/>
        </w:rPr>
      </w:pPr>
    </w:p>
    <w:p w:rsidR="002435EC" w:rsidRDefault="002435EC" w:rsidP="002435EC">
      <w:pPr>
        <w:jc w:val="both"/>
        <w:rPr>
          <w:rFonts w:ascii="Arial" w:hAnsi="Arial"/>
          <w:sz w:val="22"/>
          <w:lang w:val="fr-LU"/>
        </w:rPr>
      </w:pPr>
    </w:p>
    <w:p w:rsidR="00921874" w:rsidRDefault="00921874"/>
    <w:sectPr w:rsidR="009218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13078"/>
    <w:multiLevelType w:val="hybridMultilevel"/>
    <w:tmpl w:val="CFE4075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874"/>
    <w:rsid w:val="002435EC"/>
    <w:rsid w:val="00921874"/>
    <w:rsid w:val="00CA6FCF"/>
    <w:rsid w:val="00CE5CC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567E32B3-E221-431B-AF32-3652E60F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5EC"/>
    <w:rPr>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1"/>
    <w:basedOn w:val="Normal"/>
    <w:rsid w:val="00921874"/>
    <w:pPr>
      <w:jc w:val="both"/>
    </w:pPr>
    <w:rPr>
      <w:rFonts w:ascii="Arial" w:hAnsi="Arial"/>
      <w:sz w:val="22"/>
    </w:rPr>
  </w:style>
  <w:style w:type="paragraph" w:styleId="Textebrut">
    <w:name w:val="Plain Text"/>
    <w:basedOn w:val="Normal"/>
    <w:rsid w:val="002435EC"/>
    <w:pPr>
      <w:jc w:val="both"/>
    </w:pPr>
    <w:rPr>
      <w:rFonts w:ascii="Courier New" w:hAnsi="Courier New"/>
    </w:rPr>
  </w:style>
  <w:style w:type="paragraph" w:styleId="Textedebulles">
    <w:name w:val="Balloon Text"/>
    <w:basedOn w:val="Normal"/>
    <w:semiHidden/>
    <w:rsid w:val="002435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DP5386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5386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/sftpecos/Dossiers_parlementaires/5386/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147B935-FFF9-4B5E-B2ED-E43FCF6802DA}"/>
</file>

<file path=customXml/itemProps2.xml><?xml version="1.0" encoding="utf-8"?>
<ds:datastoreItem xmlns:ds="http://schemas.openxmlformats.org/officeDocument/2006/customXml" ds:itemID="{01D5823C-255B-4F90-8BC9-6FD864E57148}"/>
</file>

<file path=customXml/itemProps3.xml><?xml version="1.0" encoding="utf-8"?>
<ds:datastoreItem xmlns:ds="http://schemas.openxmlformats.org/officeDocument/2006/customXml" ds:itemID="{EDCDA7B3-45FB-4C32-AF5B-87474D1D79DD}"/>
</file>

<file path=docProps/app.xml><?xml version="1.0" encoding="utf-8"?>
<Properties xmlns="http://schemas.openxmlformats.org/officeDocument/2006/extended-properties" xmlns:vt="http://schemas.openxmlformats.org/officeDocument/2006/docPropsVTypes">
  <Template>Normal</Template>
  <TotalTime>0</TotalTime>
  <Pages>3</Pages>
  <Words>1182</Words>
  <Characters>6501</Characters>
  <Application>Microsoft Office Word</Application>
  <DocSecurity>4</DocSecurity>
  <Lines>54</Lines>
  <Paragraphs>15</Paragraphs>
  <ScaleCrop>false</ScaleCrop>
  <HeadingPairs>
    <vt:vector size="2" baseType="variant">
      <vt:variant>
        <vt:lpstr>Titre</vt:lpstr>
      </vt:variant>
      <vt:variant>
        <vt:i4>1</vt:i4>
      </vt:variant>
    </vt:vector>
  </HeadingPairs>
  <TitlesOfParts>
    <vt:vector size="1" baseType="lpstr">
      <vt:lpstr>Projet de loi 5386</vt:lpstr>
    </vt:vector>
  </TitlesOfParts>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Arlette Frascht</dc:creator>
  <cp:keywords/>
  <dc:description/>
  <cp:lastModifiedBy>SYSTEM</cp:lastModifiedBy>
  <cp:revision>2</cp:revision>
  <cp:lastPrinted>2006-04-03T08:29:00Z</cp:lastPrinted>
  <dcterms:created xsi:type="dcterms:W3CDTF">2024-02-21T07:41:00Z</dcterms:created>
  <dcterms:modified xsi:type="dcterms:W3CDTF">2024-02-21T07:41:00Z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