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7C" w:rsidRDefault="0093067C" w:rsidP="0093067C">
      <w:pPr>
        <w:jc w:val="center"/>
        <w:outlineLvl w:val="0"/>
        <w:rPr>
          <w:rFonts w:ascii="Arial" w:hAnsi="Arial"/>
          <w:b/>
          <w:snapToGrid w:val="0"/>
          <w:sz w:val="28"/>
        </w:rPr>
      </w:pPr>
      <w:bookmarkStart w:id="0" w:name="_GoBack"/>
      <w:bookmarkEnd w:id="0"/>
      <w:r>
        <w:rPr>
          <w:rFonts w:ascii="Arial" w:hAnsi="Arial"/>
          <w:b/>
          <w:snapToGrid w:val="0"/>
          <w:sz w:val="28"/>
        </w:rPr>
        <w:t>PROJET DE LOI 5326</w:t>
      </w:r>
    </w:p>
    <w:p w:rsidR="0093067C" w:rsidRDefault="0093067C" w:rsidP="0093067C">
      <w:pPr>
        <w:jc w:val="center"/>
        <w:outlineLvl w:val="0"/>
        <w:rPr>
          <w:rFonts w:ascii="Arial" w:hAnsi="Arial"/>
          <w:b/>
          <w:snapToGrid w:val="0"/>
          <w:sz w:val="24"/>
        </w:rPr>
      </w:pPr>
    </w:p>
    <w:p w:rsidR="0093067C" w:rsidRDefault="0093067C" w:rsidP="0093067C">
      <w:pPr>
        <w:jc w:val="center"/>
        <w:rPr>
          <w:rFonts w:ascii="Arial" w:hAnsi="Arial"/>
          <w:b/>
          <w:snapToGrid w:val="0"/>
          <w:sz w:val="24"/>
        </w:rPr>
      </w:pPr>
    </w:p>
    <w:p w:rsidR="0093067C" w:rsidRDefault="0093067C" w:rsidP="0093067C">
      <w:pPr>
        <w:jc w:val="center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 xml:space="preserve">portant approbation de la Convention entre le Grand-Duché de Luxembourg et le Royaume de Suède sur la sécurité sociale, signée à Bruxelles, le 1er décembre 2003 </w:t>
      </w:r>
    </w:p>
    <w:p w:rsidR="0093067C" w:rsidRDefault="0093067C" w:rsidP="0093067C">
      <w:pPr>
        <w:jc w:val="center"/>
        <w:outlineLvl w:val="0"/>
        <w:rPr>
          <w:rFonts w:ascii="Arial" w:hAnsi="Arial"/>
          <w:b/>
          <w:snapToGrid w:val="0"/>
          <w:sz w:val="24"/>
        </w:rPr>
      </w:pPr>
    </w:p>
    <w:p w:rsidR="00921874" w:rsidRDefault="00921874"/>
    <w:p w:rsidR="0093067C" w:rsidRDefault="0093067C" w:rsidP="0093067C">
      <w:pPr>
        <w:jc w:val="both"/>
        <w:rPr>
          <w:rFonts w:ascii="Arial" w:hAnsi="Arial"/>
          <w:sz w:val="22"/>
        </w:rPr>
      </w:pPr>
      <w:r w:rsidRPr="00B7537F">
        <w:rPr>
          <w:rFonts w:ascii="Arial" w:hAnsi="Arial"/>
          <w:sz w:val="22"/>
        </w:rPr>
        <w:t xml:space="preserve">Le projet de loi a pour objet l’approbation de la convention entre le Grand-Duché de </w:t>
      </w:r>
      <w:r>
        <w:rPr>
          <w:rFonts w:ascii="Arial" w:hAnsi="Arial"/>
          <w:sz w:val="22"/>
        </w:rPr>
        <w:t xml:space="preserve">Luxembourg </w:t>
      </w:r>
      <w:r w:rsidRPr="00B7537F">
        <w:rPr>
          <w:rFonts w:ascii="Arial" w:hAnsi="Arial"/>
          <w:sz w:val="22"/>
        </w:rPr>
        <w:t xml:space="preserve">et </w:t>
      </w:r>
      <w:r>
        <w:rPr>
          <w:rFonts w:ascii="Arial" w:hAnsi="Arial"/>
          <w:sz w:val="22"/>
        </w:rPr>
        <w:t xml:space="preserve">le Royaume de Suède </w:t>
      </w:r>
      <w:r w:rsidRPr="00B7537F">
        <w:rPr>
          <w:rFonts w:ascii="Arial" w:hAnsi="Arial"/>
          <w:sz w:val="22"/>
        </w:rPr>
        <w:t>sur la sécurité sociale, qui a été signée à B</w:t>
      </w:r>
      <w:r>
        <w:rPr>
          <w:rFonts w:ascii="Arial" w:hAnsi="Arial"/>
          <w:sz w:val="22"/>
        </w:rPr>
        <w:t>ruxelles le 1er décembre</w:t>
      </w:r>
      <w:r w:rsidRPr="00B7537F">
        <w:rPr>
          <w:rFonts w:ascii="Arial" w:hAnsi="Arial"/>
          <w:sz w:val="22"/>
        </w:rPr>
        <w:t xml:space="preserve"> 2003.</w:t>
      </w:r>
    </w:p>
    <w:p w:rsidR="0093067C" w:rsidRPr="00B7537F" w:rsidRDefault="0093067C" w:rsidP="0093067C">
      <w:pPr>
        <w:jc w:val="both"/>
        <w:rPr>
          <w:rFonts w:ascii="Arial" w:hAnsi="Arial"/>
          <w:sz w:val="22"/>
        </w:rPr>
      </w:pPr>
    </w:p>
    <w:p w:rsidR="0093067C" w:rsidRDefault="0093067C" w:rsidP="0093067C">
      <w:pPr>
        <w:jc w:val="both"/>
        <w:rPr>
          <w:rFonts w:ascii="Arial" w:hAnsi="Arial"/>
          <w:sz w:val="22"/>
        </w:rPr>
      </w:pPr>
      <w:r w:rsidRPr="00072BB2">
        <w:rPr>
          <w:rFonts w:ascii="Arial" w:hAnsi="Arial"/>
          <w:sz w:val="22"/>
        </w:rPr>
        <w:t>Avant l’entrée dans l’Union européenne de la Suède le 1er janvier 1995, les relations de sécurité</w:t>
      </w:r>
      <w:r>
        <w:rPr>
          <w:rFonts w:ascii="Arial" w:hAnsi="Arial"/>
          <w:sz w:val="22"/>
        </w:rPr>
        <w:t xml:space="preserve"> </w:t>
      </w:r>
      <w:r w:rsidRPr="00072BB2">
        <w:rPr>
          <w:rFonts w:ascii="Arial" w:hAnsi="Arial"/>
          <w:sz w:val="22"/>
        </w:rPr>
        <w:t>sociale entre le Grand-Duché de Luxembourg et la Suède étaient réglées par une convention bilatérale</w:t>
      </w:r>
      <w:r>
        <w:rPr>
          <w:rFonts w:ascii="Arial" w:hAnsi="Arial"/>
          <w:sz w:val="22"/>
        </w:rPr>
        <w:t xml:space="preserve"> </w:t>
      </w:r>
      <w:r w:rsidRPr="00072BB2">
        <w:rPr>
          <w:rFonts w:ascii="Arial" w:hAnsi="Arial"/>
          <w:sz w:val="22"/>
        </w:rPr>
        <w:t>du 21 février 1985 et un arrangement administratif portant la même date.</w:t>
      </w:r>
    </w:p>
    <w:p w:rsidR="0093067C" w:rsidRPr="00072BB2" w:rsidRDefault="0093067C" w:rsidP="0093067C">
      <w:pPr>
        <w:jc w:val="both"/>
        <w:rPr>
          <w:rFonts w:ascii="Arial" w:hAnsi="Arial"/>
          <w:sz w:val="22"/>
        </w:rPr>
      </w:pPr>
    </w:p>
    <w:p w:rsidR="0093067C" w:rsidRDefault="0093067C" w:rsidP="0093067C">
      <w:pPr>
        <w:jc w:val="both"/>
        <w:rPr>
          <w:rFonts w:ascii="Arial" w:hAnsi="Arial"/>
          <w:sz w:val="22"/>
        </w:rPr>
      </w:pPr>
      <w:r w:rsidRPr="00072BB2">
        <w:rPr>
          <w:rFonts w:ascii="Arial" w:hAnsi="Arial"/>
          <w:sz w:val="22"/>
        </w:rPr>
        <w:t>Avec l’entrée de la Suède dans l’Union européenne, l’instrument de droit commun, à savoir le règlement</w:t>
      </w:r>
      <w:r>
        <w:rPr>
          <w:rFonts w:ascii="Arial" w:hAnsi="Arial"/>
          <w:sz w:val="22"/>
        </w:rPr>
        <w:t xml:space="preserve"> </w:t>
      </w:r>
      <w:r w:rsidRPr="00072BB2">
        <w:rPr>
          <w:rFonts w:ascii="Arial" w:hAnsi="Arial"/>
          <w:sz w:val="22"/>
        </w:rPr>
        <w:t>1408/71 relatif à l’application des régimes de sécurité sociale aux travailleurs salariés, aux travailleurs</w:t>
      </w:r>
      <w:r>
        <w:rPr>
          <w:rFonts w:ascii="Arial" w:hAnsi="Arial"/>
          <w:sz w:val="22"/>
        </w:rPr>
        <w:t xml:space="preserve"> </w:t>
      </w:r>
      <w:r w:rsidRPr="00072BB2">
        <w:rPr>
          <w:rFonts w:ascii="Arial" w:hAnsi="Arial"/>
          <w:sz w:val="22"/>
        </w:rPr>
        <w:t>non salariés et aux membres de leur famille qui se déplacent à l’intérieur de la Communauté est</w:t>
      </w:r>
      <w:r>
        <w:rPr>
          <w:rFonts w:ascii="Arial" w:hAnsi="Arial"/>
          <w:sz w:val="22"/>
        </w:rPr>
        <w:t xml:space="preserve"> </w:t>
      </w:r>
      <w:r w:rsidRPr="00072BB2">
        <w:rPr>
          <w:rFonts w:ascii="Arial" w:hAnsi="Arial"/>
          <w:sz w:val="22"/>
        </w:rPr>
        <w:t>devenu applicable. Or, le règlement communautaire était, sur certains points limités, moins favorable</w:t>
      </w:r>
      <w:r>
        <w:rPr>
          <w:rFonts w:ascii="Arial" w:hAnsi="Arial"/>
          <w:sz w:val="22"/>
        </w:rPr>
        <w:t xml:space="preserve"> </w:t>
      </w:r>
      <w:r w:rsidRPr="00072BB2">
        <w:rPr>
          <w:rFonts w:ascii="Arial" w:hAnsi="Arial"/>
          <w:sz w:val="22"/>
        </w:rPr>
        <w:t>que l’ancienne convention bilatérale, notamment en ce qui concerne le champ d’application personnel.</w:t>
      </w:r>
    </w:p>
    <w:p w:rsidR="0093067C" w:rsidRPr="00072BB2" w:rsidRDefault="0093067C" w:rsidP="0093067C">
      <w:pPr>
        <w:jc w:val="both"/>
        <w:rPr>
          <w:rFonts w:ascii="Arial" w:hAnsi="Arial"/>
          <w:sz w:val="22"/>
        </w:rPr>
      </w:pPr>
    </w:p>
    <w:p w:rsidR="0093067C" w:rsidRPr="00072BB2" w:rsidRDefault="0093067C" w:rsidP="0093067C">
      <w:pPr>
        <w:jc w:val="both"/>
        <w:rPr>
          <w:rFonts w:ascii="Arial" w:hAnsi="Arial"/>
          <w:sz w:val="22"/>
        </w:rPr>
      </w:pPr>
      <w:r w:rsidRPr="00072BB2">
        <w:rPr>
          <w:rFonts w:ascii="Arial" w:hAnsi="Arial"/>
          <w:sz w:val="22"/>
        </w:rPr>
        <w:t>Les responsables des deux pays ont alors décidé de négocier une nouvelle convention bilatérale</w:t>
      </w:r>
      <w:r>
        <w:rPr>
          <w:rFonts w:ascii="Arial" w:hAnsi="Arial"/>
          <w:sz w:val="22"/>
        </w:rPr>
        <w:t xml:space="preserve"> </w:t>
      </w:r>
      <w:r w:rsidRPr="00072BB2">
        <w:rPr>
          <w:rFonts w:ascii="Arial" w:hAnsi="Arial"/>
          <w:sz w:val="22"/>
        </w:rPr>
        <w:t>tenant compte de cet état de chose.</w:t>
      </w:r>
    </w:p>
    <w:p w:rsidR="0093067C" w:rsidRDefault="0093067C" w:rsidP="0093067C">
      <w:pPr>
        <w:jc w:val="both"/>
        <w:rPr>
          <w:rFonts w:ascii="Arial" w:hAnsi="Arial"/>
          <w:sz w:val="22"/>
        </w:rPr>
      </w:pPr>
    </w:p>
    <w:p w:rsidR="0093067C" w:rsidRPr="00072BB2" w:rsidRDefault="0093067C" w:rsidP="0093067C">
      <w:pPr>
        <w:jc w:val="both"/>
        <w:rPr>
          <w:rFonts w:ascii="Arial" w:hAnsi="Arial"/>
          <w:sz w:val="22"/>
        </w:rPr>
      </w:pPr>
      <w:r w:rsidRPr="00072BB2">
        <w:rPr>
          <w:rFonts w:ascii="Arial" w:hAnsi="Arial"/>
          <w:sz w:val="22"/>
        </w:rPr>
        <w:t>La question de l’application de la coordination aux ressortissants de pays tiers était au coeur des</w:t>
      </w:r>
      <w:r>
        <w:rPr>
          <w:rFonts w:ascii="Arial" w:hAnsi="Arial"/>
          <w:sz w:val="22"/>
        </w:rPr>
        <w:t xml:space="preserve"> </w:t>
      </w:r>
      <w:r w:rsidRPr="00072BB2">
        <w:rPr>
          <w:rFonts w:ascii="Arial" w:hAnsi="Arial"/>
          <w:sz w:val="22"/>
        </w:rPr>
        <w:t>négociations. Toutefois, étant donné que pendant la même période, des travaux tendant au même but</w:t>
      </w:r>
      <w:r>
        <w:rPr>
          <w:rFonts w:ascii="Arial" w:hAnsi="Arial"/>
          <w:sz w:val="22"/>
        </w:rPr>
        <w:t xml:space="preserve"> </w:t>
      </w:r>
      <w:r w:rsidRPr="00072BB2">
        <w:rPr>
          <w:rFonts w:ascii="Arial" w:hAnsi="Arial"/>
          <w:sz w:val="22"/>
        </w:rPr>
        <w:t>étaient engagés dans les instances de l’Union, la finalisation de la convention bilatérale a été tenue en</w:t>
      </w:r>
      <w:r>
        <w:rPr>
          <w:rFonts w:ascii="Arial" w:hAnsi="Arial"/>
          <w:sz w:val="22"/>
        </w:rPr>
        <w:t xml:space="preserve"> </w:t>
      </w:r>
      <w:r w:rsidRPr="00072BB2">
        <w:rPr>
          <w:rFonts w:ascii="Arial" w:hAnsi="Arial"/>
          <w:sz w:val="22"/>
        </w:rPr>
        <w:t>suspens.</w:t>
      </w:r>
    </w:p>
    <w:p w:rsidR="0093067C" w:rsidRDefault="0093067C" w:rsidP="0093067C">
      <w:pPr>
        <w:jc w:val="both"/>
        <w:rPr>
          <w:rFonts w:ascii="Arial" w:hAnsi="Arial"/>
          <w:sz w:val="22"/>
        </w:rPr>
      </w:pPr>
    </w:p>
    <w:p w:rsidR="0093067C" w:rsidRDefault="0093067C" w:rsidP="0093067C">
      <w:pPr>
        <w:jc w:val="both"/>
        <w:rPr>
          <w:rFonts w:ascii="Arial" w:hAnsi="Arial"/>
          <w:sz w:val="22"/>
        </w:rPr>
      </w:pPr>
      <w:r w:rsidRPr="00072BB2">
        <w:rPr>
          <w:rFonts w:ascii="Arial" w:hAnsi="Arial"/>
          <w:sz w:val="22"/>
        </w:rPr>
        <w:t>Le 1er juin 2003 les règles de coordination prévues par le règlement 1408/71 ont été étendues aux</w:t>
      </w:r>
      <w:r>
        <w:rPr>
          <w:rFonts w:ascii="Arial" w:hAnsi="Arial"/>
          <w:sz w:val="22"/>
        </w:rPr>
        <w:t xml:space="preserve"> </w:t>
      </w:r>
      <w:r w:rsidRPr="00072BB2">
        <w:rPr>
          <w:rFonts w:ascii="Arial" w:hAnsi="Arial"/>
          <w:sz w:val="22"/>
        </w:rPr>
        <w:t>personnes qui ne sont pas ressortissantes d’un Etat membre de l’Union européenne.</w:t>
      </w:r>
    </w:p>
    <w:p w:rsidR="0093067C" w:rsidRPr="00072BB2" w:rsidRDefault="0093067C" w:rsidP="0093067C">
      <w:pPr>
        <w:jc w:val="both"/>
        <w:rPr>
          <w:rFonts w:ascii="Arial" w:hAnsi="Arial"/>
          <w:sz w:val="22"/>
        </w:rPr>
      </w:pPr>
    </w:p>
    <w:p w:rsidR="0093067C" w:rsidRPr="00072BB2" w:rsidRDefault="0093067C" w:rsidP="0093067C">
      <w:pPr>
        <w:jc w:val="both"/>
        <w:rPr>
          <w:rFonts w:ascii="Arial" w:hAnsi="Arial"/>
          <w:sz w:val="22"/>
        </w:rPr>
      </w:pPr>
      <w:r w:rsidRPr="00072BB2">
        <w:rPr>
          <w:rFonts w:ascii="Arial" w:hAnsi="Arial"/>
          <w:sz w:val="22"/>
        </w:rPr>
        <w:t>Un des objectifs d’une convention bilatérale entre la Suède et le Luxembourg avait dès lors disparu.</w:t>
      </w:r>
      <w:r>
        <w:rPr>
          <w:rFonts w:ascii="Arial" w:hAnsi="Arial"/>
          <w:sz w:val="22"/>
        </w:rPr>
        <w:t xml:space="preserve"> </w:t>
      </w:r>
      <w:r w:rsidRPr="00072BB2">
        <w:rPr>
          <w:rFonts w:ascii="Arial" w:hAnsi="Arial"/>
          <w:sz w:val="22"/>
        </w:rPr>
        <w:t>Cependant les responsables ont décidé de reprendre les négociations car il restait deux choses à régler.</w:t>
      </w:r>
    </w:p>
    <w:p w:rsidR="0093067C" w:rsidRDefault="0093067C" w:rsidP="0093067C">
      <w:pPr>
        <w:jc w:val="both"/>
        <w:rPr>
          <w:rFonts w:ascii="Arial" w:hAnsi="Arial"/>
          <w:sz w:val="22"/>
        </w:rPr>
      </w:pPr>
    </w:p>
    <w:p w:rsidR="0093067C" w:rsidRPr="00072BB2" w:rsidRDefault="0093067C" w:rsidP="0093067C">
      <w:pPr>
        <w:jc w:val="both"/>
        <w:rPr>
          <w:rFonts w:ascii="Arial" w:hAnsi="Arial"/>
          <w:sz w:val="22"/>
        </w:rPr>
      </w:pPr>
      <w:r w:rsidRPr="00072BB2">
        <w:rPr>
          <w:rFonts w:ascii="Arial" w:hAnsi="Arial"/>
          <w:sz w:val="22"/>
        </w:rPr>
        <w:t>En effet, deux dispositions de la présente convention vont plus loin que le règlement 1408/71, et</w:t>
      </w:r>
      <w:r>
        <w:rPr>
          <w:rFonts w:ascii="Arial" w:hAnsi="Arial"/>
          <w:sz w:val="22"/>
        </w:rPr>
        <w:t xml:space="preserve"> </w:t>
      </w:r>
      <w:r w:rsidRPr="00072BB2">
        <w:rPr>
          <w:rFonts w:ascii="Arial" w:hAnsi="Arial"/>
          <w:sz w:val="22"/>
        </w:rPr>
        <w:t>apportent donc un plus par rapport à la réglementation européenne. D’un côté une disposition prévoyant</w:t>
      </w:r>
      <w:r>
        <w:rPr>
          <w:rFonts w:ascii="Arial" w:hAnsi="Arial"/>
          <w:sz w:val="22"/>
        </w:rPr>
        <w:t xml:space="preserve"> </w:t>
      </w:r>
      <w:r w:rsidRPr="00072BB2">
        <w:rPr>
          <w:rFonts w:ascii="Arial" w:hAnsi="Arial"/>
          <w:sz w:val="22"/>
        </w:rPr>
        <w:t>la possibilité d’une totalisation des périodes d’assurance accomplies dans un pays tiers apporte des</w:t>
      </w:r>
      <w:r>
        <w:rPr>
          <w:rFonts w:ascii="Arial" w:hAnsi="Arial"/>
          <w:sz w:val="22"/>
        </w:rPr>
        <w:t xml:space="preserve"> </w:t>
      </w:r>
      <w:r w:rsidRPr="00072BB2">
        <w:rPr>
          <w:rFonts w:ascii="Arial" w:hAnsi="Arial"/>
          <w:sz w:val="22"/>
        </w:rPr>
        <w:t>droits supplémentaires aux assurés. D’un autre côté les procédures exécutoires ont été précisées ce qui</w:t>
      </w:r>
      <w:r>
        <w:rPr>
          <w:rFonts w:ascii="Arial" w:hAnsi="Arial"/>
          <w:sz w:val="22"/>
        </w:rPr>
        <w:t xml:space="preserve"> </w:t>
      </w:r>
      <w:r w:rsidRPr="00072BB2">
        <w:rPr>
          <w:rFonts w:ascii="Arial" w:hAnsi="Arial"/>
          <w:sz w:val="22"/>
        </w:rPr>
        <w:t>apporte une sécurité juridique supplémentaire aux institutions concernées.</w:t>
      </w:r>
    </w:p>
    <w:p w:rsidR="0093067C" w:rsidRPr="00072BB2" w:rsidRDefault="0093067C" w:rsidP="0093067C">
      <w:pPr>
        <w:jc w:val="both"/>
        <w:rPr>
          <w:rFonts w:ascii="Arial" w:hAnsi="Arial"/>
          <w:snapToGrid w:val="0"/>
          <w:sz w:val="22"/>
        </w:rPr>
      </w:pPr>
    </w:p>
    <w:p w:rsidR="0093067C" w:rsidRDefault="0093067C"/>
    <w:sectPr w:rsidR="0093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74"/>
    <w:rsid w:val="00921874"/>
    <w:rsid w:val="0093067C"/>
    <w:rsid w:val="00AF5F3E"/>
    <w:rsid w:val="00D57B4A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3EB0EC3-D2E0-43F6-AF80-701B5999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67C"/>
    <w:rPr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921874"/>
    <w:pPr>
      <w:jc w:val="both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930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DP5326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5326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/sftpecos/Dossiers_parlementaires/5326/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E928FE9-754C-45BA-8074-C705BDB1D9B2}"/>
</file>

<file path=customXml/itemProps2.xml><?xml version="1.0" encoding="utf-8"?>
<ds:datastoreItem xmlns:ds="http://schemas.openxmlformats.org/officeDocument/2006/customXml" ds:itemID="{5896EC7C-989B-456B-B523-ED1FC41AC90C}"/>
</file>

<file path=customXml/itemProps3.xml><?xml version="1.0" encoding="utf-8"?>
<ds:datastoreItem xmlns:ds="http://schemas.openxmlformats.org/officeDocument/2006/customXml" ds:itemID="{F3883BAC-8E2F-43E5-9BAC-01760E661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5326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dc:description/>
  <cp:lastModifiedBy>SYSTEM</cp:lastModifiedBy>
  <cp:revision>2</cp:revision>
  <cp:lastPrinted>2005-02-28T07:33:00Z</cp:lastPrinted>
  <dcterms:created xsi:type="dcterms:W3CDTF">2024-02-21T07:39:00Z</dcterms:created>
  <dcterms:modified xsi:type="dcterms:W3CDTF">2024-02-21T07:39:00Z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