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F94A1D" w:rsidRDefault="00F5562F" w:rsidP="00F5562F">
      <w:pPr>
        <w:jc w:val="center"/>
        <w:rPr>
          <w:rFonts w:ascii="Arial" w:hAnsi="Arial" w:cs="Arial"/>
          <w:b/>
          <w:sz w:val="22"/>
          <w:szCs w:val="22"/>
          <w:u w:val="single"/>
        </w:rPr>
      </w:pPr>
      <w:bookmarkStart w:id="0" w:name="_GoBack"/>
      <w:bookmarkEnd w:id="0"/>
      <w:r w:rsidRPr="00F94A1D">
        <w:rPr>
          <w:rFonts w:ascii="Arial" w:hAnsi="Arial" w:cs="Arial"/>
          <w:b/>
          <w:sz w:val="22"/>
          <w:szCs w:val="22"/>
          <w:u w:val="single"/>
        </w:rPr>
        <w:t>Résumé du projet de loi 5325</w:t>
      </w:r>
    </w:p>
    <w:p w:rsidR="00F5562F" w:rsidRPr="00F94A1D" w:rsidRDefault="00F5562F" w:rsidP="00DE043B">
      <w:pPr>
        <w:jc w:val="both"/>
        <w:rPr>
          <w:rFonts w:ascii="Arial" w:hAnsi="Arial" w:cs="Arial"/>
          <w:sz w:val="22"/>
          <w:szCs w:val="22"/>
        </w:rPr>
      </w:pPr>
    </w:p>
    <w:p w:rsidR="00D237B0" w:rsidRDefault="00F94A1D" w:rsidP="00DE043B">
      <w:pPr>
        <w:jc w:val="both"/>
        <w:rPr>
          <w:rFonts w:ascii="Arial" w:hAnsi="Arial" w:cs="Arial"/>
          <w:sz w:val="22"/>
          <w:szCs w:val="22"/>
        </w:rPr>
      </w:pPr>
      <w:r w:rsidRPr="00F94A1D">
        <w:rPr>
          <w:rFonts w:ascii="Arial" w:hAnsi="Arial" w:cs="Arial"/>
          <w:sz w:val="22"/>
          <w:szCs w:val="22"/>
        </w:rPr>
        <w:t xml:space="preserve">Le présent projet de loi a pour objet </w:t>
      </w:r>
      <w:r w:rsidR="00DE043B">
        <w:rPr>
          <w:rFonts w:ascii="Arial" w:hAnsi="Arial" w:cs="Arial"/>
          <w:sz w:val="22"/>
          <w:szCs w:val="22"/>
        </w:rPr>
        <w:t>l’approbation du Protocole N°12 à la Convention de sauvegarde des Droits de l’Homme</w:t>
      </w:r>
      <w:r w:rsidR="00A50719">
        <w:rPr>
          <w:rFonts w:ascii="Arial" w:hAnsi="Arial" w:cs="Arial"/>
          <w:sz w:val="22"/>
          <w:szCs w:val="22"/>
        </w:rPr>
        <w:t xml:space="preserve"> et des Libertés fondamentales</w:t>
      </w:r>
      <w:r w:rsidR="00FD5D05">
        <w:rPr>
          <w:rFonts w:ascii="Arial" w:hAnsi="Arial" w:cs="Arial"/>
          <w:sz w:val="22"/>
          <w:szCs w:val="22"/>
        </w:rPr>
        <w:t xml:space="preserve">, introduisant </w:t>
      </w:r>
      <w:r w:rsidR="00D237B0">
        <w:rPr>
          <w:rFonts w:ascii="Arial" w:hAnsi="Arial" w:cs="Arial"/>
          <w:sz w:val="22"/>
          <w:szCs w:val="22"/>
        </w:rPr>
        <w:t xml:space="preserve">dans la législation luxembourgeoise un principe de non-discrimination généralisé. </w:t>
      </w:r>
    </w:p>
    <w:p w:rsidR="00D237B0" w:rsidRDefault="00D237B0" w:rsidP="00DE043B">
      <w:pPr>
        <w:jc w:val="both"/>
        <w:rPr>
          <w:rFonts w:ascii="Arial" w:hAnsi="Arial" w:cs="Arial"/>
          <w:sz w:val="22"/>
          <w:szCs w:val="22"/>
        </w:rPr>
      </w:pPr>
    </w:p>
    <w:p w:rsidR="00F23F63" w:rsidRDefault="00142F6B" w:rsidP="00DE043B">
      <w:pPr>
        <w:jc w:val="both"/>
        <w:rPr>
          <w:rFonts w:ascii="Arial" w:hAnsi="Arial" w:cs="Arial"/>
          <w:sz w:val="22"/>
          <w:szCs w:val="22"/>
        </w:rPr>
      </w:pPr>
      <w:r>
        <w:rPr>
          <w:rFonts w:ascii="Arial" w:hAnsi="Arial" w:cs="Arial"/>
          <w:sz w:val="22"/>
          <w:szCs w:val="22"/>
        </w:rPr>
        <w:t>L’article 14 de la Convention européenne de sauvegarde des Droits de l’Homme et des Libertés fondamentales prohibe la discrimination dans l’exercice des droits garantis par la</w:t>
      </w:r>
      <w:r w:rsidR="003203CF">
        <w:rPr>
          <w:rFonts w:ascii="Arial" w:hAnsi="Arial" w:cs="Arial"/>
          <w:sz w:val="22"/>
          <w:szCs w:val="22"/>
        </w:rPr>
        <w:t xml:space="preserve">dite Convention </w:t>
      </w:r>
      <w:r w:rsidR="00CC50FF">
        <w:rPr>
          <w:rFonts w:ascii="Arial" w:hAnsi="Arial" w:cs="Arial"/>
          <w:sz w:val="22"/>
          <w:szCs w:val="22"/>
        </w:rPr>
        <w:t>en retenant que « la jouissance des droits et libertés reconnus dans la présente Convention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 ».</w:t>
      </w:r>
      <w:r w:rsidR="00D237B0">
        <w:rPr>
          <w:rFonts w:ascii="Arial" w:hAnsi="Arial" w:cs="Arial"/>
          <w:sz w:val="22"/>
          <w:szCs w:val="22"/>
        </w:rPr>
        <w:t xml:space="preserve"> Or, </w:t>
      </w:r>
      <w:r w:rsidR="001F268F">
        <w:rPr>
          <w:rFonts w:ascii="Arial" w:hAnsi="Arial" w:cs="Arial"/>
          <w:sz w:val="22"/>
          <w:szCs w:val="22"/>
        </w:rPr>
        <w:t>l’article 14</w:t>
      </w:r>
      <w:r>
        <w:rPr>
          <w:rFonts w:ascii="Arial" w:hAnsi="Arial" w:cs="Arial"/>
          <w:sz w:val="22"/>
          <w:szCs w:val="22"/>
        </w:rPr>
        <w:t xml:space="preserve"> ne revêt qu’un caractère accessoire par rapport aux autres garanties normatives de la Convention et n’a pas d’existence indépendante. </w:t>
      </w:r>
    </w:p>
    <w:p w:rsidR="00F23F63" w:rsidRDefault="00F23F63" w:rsidP="00DE043B">
      <w:pPr>
        <w:jc w:val="both"/>
        <w:rPr>
          <w:rFonts w:ascii="Arial" w:hAnsi="Arial" w:cs="Arial"/>
          <w:sz w:val="22"/>
          <w:szCs w:val="22"/>
        </w:rPr>
      </w:pPr>
    </w:p>
    <w:p w:rsidR="00DE043B" w:rsidRDefault="00142F6B" w:rsidP="00DE043B">
      <w:pPr>
        <w:jc w:val="both"/>
        <w:rPr>
          <w:rFonts w:ascii="Arial" w:hAnsi="Arial" w:cs="Arial"/>
          <w:sz w:val="22"/>
          <w:szCs w:val="22"/>
        </w:rPr>
      </w:pPr>
      <w:r>
        <w:rPr>
          <w:rFonts w:ascii="Arial" w:hAnsi="Arial" w:cs="Arial"/>
          <w:sz w:val="22"/>
          <w:szCs w:val="22"/>
        </w:rPr>
        <w:t xml:space="preserve">Le Protocole </w:t>
      </w:r>
      <w:r w:rsidR="003203CF">
        <w:rPr>
          <w:rFonts w:ascii="Arial" w:hAnsi="Arial" w:cs="Arial"/>
          <w:sz w:val="22"/>
          <w:szCs w:val="22"/>
        </w:rPr>
        <w:t>N°</w:t>
      </w:r>
      <w:r>
        <w:rPr>
          <w:rFonts w:ascii="Arial" w:hAnsi="Arial" w:cs="Arial"/>
          <w:sz w:val="22"/>
          <w:szCs w:val="22"/>
        </w:rPr>
        <w:t xml:space="preserve">12 comprend quant à lui un principe autonome d’égalité de traitement qui entend offrir une protection contre la discrimination qui </w:t>
      </w:r>
      <w:r w:rsidR="00CC50FF">
        <w:rPr>
          <w:rFonts w:ascii="Arial" w:hAnsi="Arial" w:cs="Arial"/>
          <w:sz w:val="22"/>
          <w:szCs w:val="22"/>
        </w:rPr>
        <w:t>s’étend au-delà de la garantie fournie par l’article 14. L’article 1</w:t>
      </w:r>
      <w:r w:rsidR="00CC50FF" w:rsidRPr="00CC50FF">
        <w:rPr>
          <w:rFonts w:ascii="Arial" w:hAnsi="Arial" w:cs="Arial"/>
          <w:sz w:val="22"/>
          <w:szCs w:val="22"/>
          <w:vertAlign w:val="superscript"/>
        </w:rPr>
        <w:t>er</w:t>
      </w:r>
      <w:r w:rsidR="00CC50FF">
        <w:rPr>
          <w:rFonts w:ascii="Arial" w:hAnsi="Arial" w:cs="Arial"/>
          <w:sz w:val="22"/>
          <w:szCs w:val="22"/>
        </w:rPr>
        <w:t xml:space="preserve"> du </w:t>
      </w:r>
      <w:r w:rsidR="00FD5D05">
        <w:rPr>
          <w:rFonts w:ascii="Arial" w:hAnsi="Arial" w:cs="Arial"/>
          <w:sz w:val="22"/>
          <w:szCs w:val="22"/>
        </w:rPr>
        <w:t>P</w:t>
      </w:r>
      <w:r w:rsidR="00CC50FF">
        <w:rPr>
          <w:rFonts w:ascii="Arial" w:hAnsi="Arial" w:cs="Arial"/>
          <w:sz w:val="22"/>
          <w:szCs w:val="22"/>
        </w:rPr>
        <w:t xml:space="preserve">rotocole </w:t>
      </w:r>
      <w:r w:rsidR="00F23F63">
        <w:rPr>
          <w:rFonts w:ascii="Arial" w:hAnsi="Arial" w:cs="Arial"/>
          <w:sz w:val="22"/>
          <w:szCs w:val="22"/>
        </w:rPr>
        <w:t>re</w:t>
      </w:r>
      <w:r w:rsidR="00CC50FF">
        <w:rPr>
          <w:rFonts w:ascii="Arial" w:hAnsi="Arial" w:cs="Arial"/>
          <w:sz w:val="22"/>
          <w:szCs w:val="22"/>
        </w:rPr>
        <w:t xml:space="preserve">tient </w:t>
      </w:r>
      <w:r w:rsidR="00F23F63">
        <w:rPr>
          <w:rFonts w:ascii="Arial" w:hAnsi="Arial" w:cs="Arial"/>
          <w:sz w:val="22"/>
          <w:szCs w:val="22"/>
        </w:rPr>
        <w:t>en effet</w:t>
      </w:r>
      <w:r w:rsidR="00CC50FF">
        <w:rPr>
          <w:rFonts w:ascii="Arial" w:hAnsi="Arial" w:cs="Arial"/>
          <w:sz w:val="22"/>
          <w:szCs w:val="22"/>
        </w:rPr>
        <w:t xml:space="preserve"> une interdiction général</w:t>
      </w:r>
      <w:r w:rsidR="00F23F63">
        <w:rPr>
          <w:rFonts w:ascii="Arial" w:hAnsi="Arial" w:cs="Arial"/>
          <w:sz w:val="22"/>
          <w:szCs w:val="22"/>
        </w:rPr>
        <w:t>e</w:t>
      </w:r>
      <w:r w:rsidR="00CC50FF">
        <w:rPr>
          <w:rFonts w:ascii="Arial" w:hAnsi="Arial" w:cs="Arial"/>
          <w:sz w:val="22"/>
          <w:szCs w:val="22"/>
        </w:rPr>
        <w:t xml:space="preserve"> de discrimination </w:t>
      </w:r>
      <w:r w:rsidR="003203CF">
        <w:rPr>
          <w:rFonts w:ascii="Arial" w:hAnsi="Arial" w:cs="Arial"/>
          <w:sz w:val="22"/>
          <w:szCs w:val="22"/>
        </w:rPr>
        <w:t>qui</w:t>
      </w:r>
      <w:r w:rsidR="00CC50FF">
        <w:rPr>
          <w:rFonts w:ascii="Arial" w:hAnsi="Arial" w:cs="Arial"/>
          <w:sz w:val="22"/>
          <w:szCs w:val="22"/>
        </w:rPr>
        <w:t xml:space="preserve"> pourrait </w:t>
      </w:r>
      <w:r w:rsidR="003203CF">
        <w:rPr>
          <w:rFonts w:ascii="Arial" w:hAnsi="Arial" w:cs="Arial"/>
          <w:sz w:val="22"/>
          <w:szCs w:val="22"/>
        </w:rPr>
        <w:t>s’appliquer</w:t>
      </w:r>
      <w:r w:rsidR="00CC50FF">
        <w:rPr>
          <w:rFonts w:ascii="Arial" w:hAnsi="Arial" w:cs="Arial"/>
          <w:sz w:val="22"/>
          <w:szCs w:val="22"/>
        </w:rPr>
        <w:t xml:space="preserve"> dans tous les domaines de la vie publique et privée, indépendamment du </w:t>
      </w:r>
      <w:r w:rsidR="003203CF">
        <w:rPr>
          <w:rFonts w:ascii="Arial" w:hAnsi="Arial" w:cs="Arial"/>
          <w:sz w:val="22"/>
          <w:szCs w:val="22"/>
        </w:rPr>
        <w:t xml:space="preserve">motif de la discrimination. </w:t>
      </w:r>
      <w:r w:rsidR="00CC50FF">
        <w:rPr>
          <w:rFonts w:ascii="Arial" w:hAnsi="Arial" w:cs="Arial"/>
          <w:sz w:val="22"/>
          <w:szCs w:val="22"/>
        </w:rPr>
        <w:t xml:space="preserve">Avec le </w:t>
      </w:r>
      <w:r w:rsidR="00FD5D05">
        <w:rPr>
          <w:rFonts w:ascii="Arial" w:hAnsi="Arial" w:cs="Arial"/>
          <w:sz w:val="22"/>
          <w:szCs w:val="22"/>
        </w:rPr>
        <w:t>P</w:t>
      </w:r>
      <w:r w:rsidR="00CC50FF">
        <w:rPr>
          <w:rFonts w:ascii="Arial" w:hAnsi="Arial" w:cs="Arial"/>
          <w:sz w:val="22"/>
          <w:szCs w:val="22"/>
        </w:rPr>
        <w:t xml:space="preserve">rotocole </w:t>
      </w:r>
      <w:r w:rsidR="001F268F">
        <w:rPr>
          <w:rFonts w:ascii="Arial" w:hAnsi="Arial" w:cs="Arial"/>
          <w:sz w:val="22"/>
          <w:szCs w:val="22"/>
        </w:rPr>
        <w:t>N°</w:t>
      </w:r>
      <w:r w:rsidR="00CC50FF">
        <w:rPr>
          <w:rFonts w:ascii="Arial" w:hAnsi="Arial" w:cs="Arial"/>
          <w:sz w:val="22"/>
          <w:szCs w:val="22"/>
        </w:rPr>
        <w:t>12, tout droit qui est garanti au niveau interne pourra désormais faire l’objet d’une requête devant la Cour.</w:t>
      </w:r>
    </w:p>
    <w:p w:rsidR="00CC50FF" w:rsidRDefault="00CC50FF" w:rsidP="00DE043B">
      <w:pPr>
        <w:jc w:val="both"/>
        <w:rPr>
          <w:rFonts w:ascii="Arial" w:hAnsi="Arial" w:cs="Arial"/>
          <w:sz w:val="22"/>
          <w:szCs w:val="22"/>
        </w:rPr>
      </w:pPr>
    </w:p>
    <w:p w:rsidR="00CC50FF" w:rsidRDefault="00CC50FF" w:rsidP="00DE043B">
      <w:pPr>
        <w:jc w:val="both"/>
        <w:rPr>
          <w:rFonts w:ascii="Arial" w:hAnsi="Arial" w:cs="Arial"/>
          <w:sz w:val="22"/>
          <w:szCs w:val="22"/>
        </w:rPr>
      </w:pPr>
    </w:p>
    <w:p w:rsidR="00CC50FF" w:rsidRDefault="00CC50FF" w:rsidP="00DE043B">
      <w:pPr>
        <w:jc w:val="both"/>
        <w:rPr>
          <w:rFonts w:ascii="Arial" w:hAnsi="Arial" w:cs="Arial"/>
          <w:sz w:val="22"/>
          <w:szCs w:val="22"/>
        </w:rPr>
      </w:pPr>
    </w:p>
    <w:p w:rsidR="00F94A1D" w:rsidRPr="00F94A1D" w:rsidRDefault="00F94A1D" w:rsidP="00DE043B">
      <w:pPr>
        <w:jc w:val="both"/>
        <w:rPr>
          <w:rFonts w:ascii="Arial" w:hAnsi="Arial" w:cs="Arial"/>
          <w:sz w:val="22"/>
          <w:szCs w:val="22"/>
        </w:rPr>
      </w:pPr>
    </w:p>
    <w:p w:rsidR="00F94A1D" w:rsidRPr="00F94A1D" w:rsidRDefault="00F94A1D" w:rsidP="00DE043B">
      <w:pPr>
        <w:jc w:val="both"/>
        <w:rPr>
          <w:rFonts w:ascii="Arial" w:hAnsi="Arial" w:cs="Arial"/>
          <w:sz w:val="22"/>
          <w:szCs w:val="22"/>
        </w:rPr>
      </w:pPr>
    </w:p>
    <w:sectPr w:rsidR="00F94A1D" w:rsidRPr="00F94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142F6B"/>
    <w:rsid w:val="00172B4D"/>
    <w:rsid w:val="001B7F98"/>
    <w:rsid w:val="001F268F"/>
    <w:rsid w:val="003203CF"/>
    <w:rsid w:val="005D5283"/>
    <w:rsid w:val="005E73CB"/>
    <w:rsid w:val="007E7C0A"/>
    <w:rsid w:val="00A50719"/>
    <w:rsid w:val="00CC50FF"/>
    <w:rsid w:val="00D237B0"/>
    <w:rsid w:val="00DE043B"/>
    <w:rsid w:val="00E43B19"/>
    <w:rsid w:val="00F23F63"/>
    <w:rsid w:val="00F5562F"/>
    <w:rsid w:val="00F94A1D"/>
    <w:rsid w:val="00F9601C"/>
    <w:rsid w:val="00FD5D05"/>
    <w:rsid w:val="00FE0EB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B13D723-F774-41F4-B2ED-53F18164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6E8C287-485F-461A-A3D3-6F94164E58A0}"/>
</file>

<file path=customXml/itemProps2.xml><?xml version="1.0" encoding="utf-8"?>
<ds:datastoreItem xmlns:ds="http://schemas.openxmlformats.org/officeDocument/2006/customXml" ds:itemID="{EF68247D-FDDF-4CAD-9B10-00FC2E683F18}"/>
</file>

<file path=customXml/itemProps3.xml><?xml version="1.0" encoding="utf-8"?>
<ds:datastoreItem xmlns:ds="http://schemas.openxmlformats.org/officeDocument/2006/customXml" ds:itemID="{CE32A91F-8124-4C9E-9D23-640E811EAC3B}"/>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Résumé du projet de loi 5325</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