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AD" w:rsidRPr="005D1D87" w:rsidRDefault="009F3DAD" w:rsidP="005D1D87">
      <w:pPr>
        <w:jc w:val="both"/>
        <w:rPr>
          <w:b/>
          <w:lang w:val="fr-LU"/>
        </w:rPr>
      </w:pPr>
      <w:bookmarkStart w:id="0" w:name="_GoBack"/>
      <w:bookmarkEnd w:id="0"/>
      <w:r w:rsidRPr="005D1D87">
        <w:rPr>
          <w:b/>
          <w:lang w:val="fr-LU"/>
        </w:rPr>
        <w:t>N° 5297</w:t>
      </w:r>
      <w:r w:rsidR="005D1D87">
        <w:rPr>
          <w:b/>
          <w:lang w:val="fr-LU"/>
        </w:rPr>
        <w:t xml:space="preserve"> </w:t>
      </w:r>
      <w:r w:rsidRPr="005D1D87">
        <w:rPr>
          <w:b/>
          <w:lang w:val="fr-LU"/>
        </w:rPr>
        <w:t>Projet de loi</w:t>
      </w:r>
      <w:r w:rsidR="005D1D87">
        <w:rPr>
          <w:b/>
          <w:lang w:val="fr-LU"/>
        </w:rPr>
        <w:t xml:space="preserve"> t</w:t>
      </w:r>
      <w:r w:rsidRPr="005D1D87">
        <w:rPr>
          <w:b/>
          <w:lang w:val="fr-LU"/>
        </w:rPr>
        <w:t>ransposant en droit luxembourgeois la directive 2003/48/CE du 3 juin 2003 du Conseil de l'Union européenne en matière de fiscalité des revenus de l'épargne sous forme de paiement d'intérêts</w:t>
      </w:r>
    </w:p>
    <w:p w:rsidR="009F3DAD" w:rsidRPr="00092C5E" w:rsidRDefault="009F3DAD" w:rsidP="009F3DAD">
      <w:pPr>
        <w:jc w:val="both"/>
        <w:rPr>
          <w:lang w:val="fr-LU"/>
        </w:rPr>
      </w:pPr>
    </w:p>
    <w:p w:rsidR="009F3DAD" w:rsidRDefault="009F3DAD" w:rsidP="009F3DAD">
      <w:pPr>
        <w:jc w:val="both"/>
      </w:pPr>
      <w:r>
        <w:t>E</w:t>
      </w:r>
      <w:r w:rsidRPr="00092C5E">
        <w:t xml:space="preserve">n </w:t>
      </w:r>
      <w:r>
        <w:t>d</w:t>
      </w:r>
      <w:r w:rsidRPr="00092C5E">
        <w:t xml:space="preserve">écembre 1997, sous </w:t>
      </w:r>
      <w:r>
        <w:t xml:space="preserve">l’impulsion de la </w:t>
      </w:r>
      <w:r w:rsidRPr="00092C5E">
        <w:t xml:space="preserve">présidence luxembourgeoise, un accord </w:t>
      </w:r>
      <w:r>
        <w:t>a pu</w:t>
      </w:r>
      <w:r w:rsidRPr="00092C5E">
        <w:t xml:space="preserve"> </w:t>
      </w:r>
      <w:r>
        <w:t>être trouvé par les</w:t>
      </w:r>
      <w:r w:rsidRPr="00092C5E">
        <w:t xml:space="preserve"> Qu</w:t>
      </w:r>
      <w:r>
        <w:t xml:space="preserve">inze, accord portant </w:t>
      </w:r>
      <w:r w:rsidRPr="00092C5E">
        <w:t xml:space="preserve">sur un paquet de trois mesures </w:t>
      </w:r>
      <w:r>
        <w:t>de coordination fiscale comportant</w:t>
      </w:r>
      <w:r w:rsidRPr="00092C5E">
        <w:t>:</w:t>
      </w:r>
    </w:p>
    <w:p w:rsidR="009F3DAD" w:rsidRPr="00092C5E" w:rsidRDefault="009F3DAD" w:rsidP="009F3DAD">
      <w:pPr>
        <w:numPr>
          <w:ilvl w:val="0"/>
          <w:numId w:val="12"/>
        </w:numPr>
        <w:jc w:val="both"/>
      </w:pPr>
      <w:r w:rsidRPr="00092C5E">
        <w:t>la mise en place d'un code de conduite sur la fiscalité des entreprises,</w:t>
      </w:r>
    </w:p>
    <w:p w:rsidR="009F3DAD" w:rsidRPr="00092C5E" w:rsidRDefault="009F3DAD" w:rsidP="009F3DAD">
      <w:pPr>
        <w:numPr>
          <w:ilvl w:val="0"/>
          <w:numId w:val="12"/>
        </w:numPr>
        <w:jc w:val="both"/>
      </w:pPr>
      <w:r w:rsidRPr="00092C5E">
        <w:t>l'adoption d'une directive concernant les paiements d'intérêts et de redevances entre sociétés associées d'Etats membres et</w:t>
      </w:r>
    </w:p>
    <w:p w:rsidR="009F3DAD" w:rsidRPr="00092C5E" w:rsidRDefault="009F3DAD" w:rsidP="009F3DAD">
      <w:pPr>
        <w:numPr>
          <w:ilvl w:val="0"/>
          <w:numId w:val="12"/>
        </w:numPr>
        <w:jc w:val="both"/>
      </w:pPr>
      <w:r w:rsidRPr="00480275">
        <w:rPr>
          <w:u w:val="single"/>
        </w:rPr>
        <w:t>l'adoption d'une directive sur la fiscalité de l'épargne</w:t>
      </w:r>
      <w:r w:rsidRPr="00092C5E">
        <w:t>.</w:t>
      </w:r>
    </w:p>
    <w:p w:rsidR="009F3DAD" w:rsidRPr="00092C5E" w:rsidRDefault="009F3DAD" w:rsidP="009F3DAD">
      <w:pPr>
        <w:jc w:val="both"/>
      </w:pPr>
    </w:p>
    <w:p w:rsidR="009F3DAD" w:rsidRDefault="00480275" w:rsidP="009F3DAD">
      <w:pPr>
        <w:jc w:val="both"/>
      </w:pPr>
      <w:r>
        <w:t>A</w:t>
      </w:r>
      <w:r w:rsidR="009F3DAD">
        <w:t xml:space="preserve">u </w:t>
      </w:r>
      <w:r w:rsidR="009F3DAD" w:rsidRPr="00092C5E">
        <w:t>Conseil européen de Santa Maria da Feira des 19 et 20 juin 2000</w:t>
      </w:r>
      <w:r w:rsidR="009F3DAD">
        <w:t>,</w:t>
      </w:r>
      <w:r w:rsidR="009F3DAD" w:rsidRPr="00092C5E">
        <w:t xml:space="preserve"> le système de coexistence </w:t>
      </w:r>
      <w:r w:rsidR="009F3DAD">
        <w:t>fut abandonné au bénéfice d’</w:t>
      </w:r>
      <w:r w:rsidR="009F3DAD" w:rsidRPr="00092C5E">
        <w:t>un système d'</w:t>
      </w:r>
      <w:r w:rsidR="009F3DAD">
        <w:t>échange d’</w:t>
      </w:r>
      <w:r w:rsidR="009F3DAD" w:rsidRPr="00092C5E">
        <w:t>information</w:t>
      </w:r>
      <w:r w:rsidR="009F3DAD">
        <w:t>s généralisé</w:t>
      </w:r>
      <w:r w:rsidR="009F3DAD" w:rsidRPr="00092C5E">
        <w:t xml:space="preserve">. </w:t>
      </w:r>
      <w:r w:rsidR="009F3DAD">
        <w:t>Cependant, p</w:t>
      </w:r>
      <w:r w:rsidR="009F3DAD" w:rsidRPr="00092C5E">
        <w:t xml:space="preserve">endant une période transitoire un nombre limité d'Etats membres </w:t>
      </w:r>
      <w:r w:rsidR="009F3DAD">
        <w:t xml:space="preserve">– en l’occurrence, le Luxembourg, l’Autriche et la Belgique – </w:t>
      </w:r>
      <w:r w:rsidR="009F3DAD" w:rsidRPr="00092C5E">
        <w:t>serai</w:t>
      </w:r>
      <w:r w:rsidR="009F3DAD">
        <w:t>en</w:t>
      </w:r>
      <w:r w:rsidR="009F3DAD" w:rsidRPr="00092C5E">
        <w:t>t autorisé</w:t>
      </w:r>
      <w:r w:rsidR="009F3DAD">
        <w:t>s</w:t>
      </w:r>
      <w:r w:rsidR="009F3DAD" w:rsidRPr="00092C5E">
        <w:t xml:space="preserve"> à remplacer le système d</w:t>
      </w:r>
      <w:r w:rsidR="009F3DAD">
        <w:t>e l’échange d</w:t>
      </w:r>
      <w:r w:rsidR="009F3DAD" w:rsidRPr="00092C5E">
        <w:t>'information</w:t>
      </w:r>
      <w:r w:rsidR="009F3DAD">
        <w:t>s</w:t>
      </w:r>
      <w:r w:rsidR="009F3DAD" w:rsidRPr="00092C5E">
        <w:t xml:space="preserve"> par un système de retenue à la source, sous condition de transférer une part appropriée de</w:t>
      </w:r>
      <w:r w:rsidR="009F3DAD">
        <w:t xml:space="preserve">s </w:t>
      </w:r>
      <w:r w:rsidR="009F3DAD" w:rsidRPr="00092C5E">
        <w:t xml:space="preserve">recettes </w:t>
      </w:r>
      <w:r w:rsidR="009F3DAD">
        <w:t xml:space="preserve">provenant de son application </w:t>
      </w:r>
      <w:r w:rsidR="009F3DAD" w:rsidRPr="00092C5E">
        <w:t>à l'Etat de résidence de</w:t>
      </w:r>
      <w:r w:rsidR="009F3DAD">
        <w:t>s bénéficiaires de paiements d’intérêts</w:t>
      </w:r>
      <w:r w:rsidR="009F3DAD" w:rsidRPr="00092C5E">
        <w:t xml:space="preserve">. </w:t>
      </w:r>
    </w:p>
    <w:p w:rsidR="00480275" w:rsidRPr="00092C5E" w:rsidRDefault="00480275" w:rsidP="009F3DAD">
      <w:pPr>
        <w:jc w:val="both"/>
      </w:pPr>
    </w:p>
    <w:p w:rsidR="009F3DAD" w:rsidRPr="00092C5E" w:rsidRDefault="009F3DAD" w:rsidP="009F3DAD">
      <w:pPr>
        <w:jc w:val="both"/>
      </w:pPr>
      <w:r w:rsidRPr="00092C5E">
        <w:t xml:space="preserve">Le 21 janvier 2003, les ministres des Finances et de l’Économie de l’Union européenne sont finalement parvenus à un accord </w:t>
      </w:r>
      <w:r>
        <w:t>global</w:t>
      </w:r>
      <w:r w:rsidRPr="00092C5E">
        <w:t xml:space="preserve"> sur la fiscalité de l’épargne. </w:t>
      </w:r>
      <w:r>
        <w:t xml:space="preserve">Cet </w:t>
      </w:r>
      <w:r w:rsidRPr="00092C5E">
        <w:t xml:space="preserve">accord </w:t>
      </w:r>
      <w:r>
        <w:t>des</w:t>
      </w:r>
      <w:r w:rsidRPr="00092C5E">
        <w:t xml:space="preserve"> Quinze </w:t>
      </w:r>
      <w:r>
        <w:t xml:space="preserve">restait </w:t>
      </w:r>
      <w:r w:rsidRPr="00092C5E">
        <w:t>lié à l’adoption de mesures équivalentes par les pays tiers énumérés dans les conclusions du Conseil européen de Feira de juin 2000, à savoir la Suisse, le Liechtenstein, Andorre, Monaco, Saint-Marin et les États-Unis d’Amérique.</w:t>
      </w:r>
    </w:p>
    <w:p w:rsidR="009F3DAD" w:rsidRPr="00092C5E" w:rsidRDefault="009F3DAD" w:rsidP="009F3DAD">
      <w:pPr>
        <w:jc w:val="both"/>
      </w:pPr>
    </w:p>
    <w:p w:rsidR="009F3DAD" w:rsidRDefault="009F3DAD" w:rsidP="009F3DAD">
      <w:pPr>
        <w:jc w:val="both"/>
      </w:pPr>
      <w:r w:rsidRPr="00092C5E">
        <w:t xml:space="preserve">Les pays tiers ne </w:t>
      </w:r>
      <w:r>
        <w:t xml:space="preserve">souhaitant </w:t>
      </w:r>
      <w:r w:rsidRPr="00092C5E">
        <w:t xml:space="preserve">pas pratiquer l’échange d’informations </w:t>
      </w:r>
      <w:r>
        <w:t>se verraient obligés d’</w:t>
      </w:r>
      <w:r w:rsidRPr="00092C5E">
        <w:t xml:space="preserve">appliquer exactement les mêmes taux de retenue à la source que le Luxembourg, l’Autriche et la </w:t>
      </w:r>
      <w:r>
        <w:t>Belgique, et ceci pendant la même période et à partir du même moment</w:t>
      </w:r>
      <w:r w:rsidRPr="00092C5E">
        <w:t xml:space="preserve">. </w:t>
      </w:r>
    </w:p>
    <w:p w:rsidR="009F3DAD" w:rsidRDefault="009F3DAD" w:rsidP="009F3DAD">
      <w:pPr>
        <w:jc w:val="both"/>
      </w:pPr>
    </w:p>
    <w:p w:rsidR="009F3DAD" w:rsidRDefault="009F3DAD" w:rsidP="009F3DAD">
      <w:pPr>
        <w:jc w:val="both"/>
      </w:pPr>
      <w:r>
        <w:t xml:space="preserve">Ce ne serait qu’au moment où le Conseil européen devrait constater à l’unanimité qu’il y a accord avec l’ensemble des pays tiers visés pour passer à l’échange généralisé d’informations entre autorités fiscales que le Luxembourg, l’Autriche et la Belgique renonceraient à l’application d’une retenue à la source et passeraient, eux aussi, à l’échange d’informations sur demande </w:t>
      </w:r>
      <w:r w:rsidRPr="00092C5E">
        <w:t>tel qu’il a été défini par la convention 2002 de l’OCDE</w:t>
      </w:r>
      <w:r>
        <w:t xml:space="preserve">. </w:t>
      </w:r>
    </w:p>
    <w:p w:rsidR="009F3DAD" w:rsidRPr="00092C5E" w:rsidRDefault="009F3DAD" w:rsidP="009F3DAD">
      <w:pPr>
        <w:jc w:val="both"/>
      </w:pPr>
    </w:p>
    <w:p w:rsidR="009F3DAD" w:rsidRDefault="009F3DAD" w:rsidP="009F3DAD">
      <w:pPr>
        <w:jc w:val="both"/>
      </w:pPr>
      <w:r>
        <w:t xml:space="preserve">La place financière luxembourgeoise s’est ralliée au contenu de la directive 2003/48/CE, dans la mesure où elle ne mettait pas en question, dans une première phase, le maintien du secret bancaire, et plaçait le Luxembourg à pied d’égalité avec les autres centres financiers d’envergure à l’intérieur de l’Europe ou au-delà de ses frontières. </w:t>
      </w:r>
    </w:p>
    <w:p w:rsidR="00480275" w:rsidRDefault="00480275" w:rsidP="009F3DAD">
      <w:pPr>
        <w:jc w:val="both"/>
      </w:pPr>
    </w:p>
    <w:p w:rsidR="009F3DAD" w:rsidRPr="00092C5E" w:rsidRDefault="009F3DAD" w:rsidP="009F3DAD">
      <w:pPr>
        <w:jc w:val="both"/>
      </w:pPr>
      <w:r>
        <w:t xml:space="preserve">Il convient encore de noter que le projet de loi de transposition comporte, à son article 9, une clause d’exemption de l’application de la retenue à la source. Effectivement, le bénéficiaire de paiements d’intérêts peut, soit, fournir à sa banque un certificat de son autorité fiscale établissant qu’il y a eu déclaration et imposition de ses revenus dans l’État de sa résidence fiscale, soit donner mandat spécial à sa banque de procéder à la communication des revenus visés par la directive à l’autorité fiscale de son Etat de résidence. L’agent payeur, donc la banque, ne peut pas prendre elle-même l’initiative d’une telle communication: celle-ci ne peut être déclenchée que sur instruction spécifique du bénéficiaire du paiement d’intérêts. En même temps, la banque est tenue d’offrir à son client le choix entre l’application de la retenue </w:t>
      </w:r>
      <w:r>
        <w:lastRenderedPageBreak/>
        <w:t xml:space="preserve">à la source et au moins une des deux alternatives. C’est donc le bénéficiaire, et lui seul, qui décide de l’application de la retenue à la source ou de la transmission à son autorité fiscale des informations relatives à ses revenus de l’épargne. </w:t>
      </w:r>
    </w:p>
    <w:p w:rsidR="009F3DAD" w:rsidRPr="00092C5E" w:rsidRDefault="009F3DAD" w:rsidP="009F3DAD">
      <w:pPr>
        <w:rPr>
          <w:lang w:val="fr-LU"/>
        </w:rPr>
      </w:pPr>
    </w:p>
    <w:p w:rsidR="009F3DAD" w:rsidRDefault="009F3DAD" w:rsidP="009F3DAD">
      <w:pPr>
        <w:jc w:val="both"/>
      </w:pPr>
      <w:r w:rsidRPr="00092C5E">
        <w:t>Selon la directive 2003/48/CE, tous les États membres, sauf le Grand-Duché de Luxembourg, la Belgique et l'Autriche, appliqueront l'échange d'informations dès l'entrée en vigueur des dispositions de la directive. Afin de préserver l'anonymat des clients vis-à-vis des autorités fiscales, les trois pays précités appliqueront quant à eux une ret</w:t>
      </w:r>
      <w:r>
        <w:t>enue à la source qui s'élèvera</w:t>
      </w:r>
      <w:r w:rsidRPr="00092C5E">
        <w:t>:</w:t>
      </w:r>
    </w:p>
    <w:p w:rsidR="009F3DAD" w:rsidRPr="00092C5E" w:rsidRDefault="009F3DAD" w:rsidP="009F3DAD">
      <w:pPr>
        <w:jc w:val="both"/>
      </w:pPr>
    </w:p>
    <w:p w:rsidR="009F3DAD" w:rsidRPr="00092C5E" w:rsidRDefault="009F3DAD" w:rsidP="009F3DAD">
      <w:pPr>
        <w:numPr>
          <w:ilvl w:val="0"/>
          <w:numId w:val="17"/>
        </w:numPr>
        <w:jc w:val="both"/>
      </w:pPr>
      <w:r>
        <w:t xml:space="preserve">à </w:t>
      </w:r>
      <w:r w:rsidRPr="00092C5E">
        <w:t>15% p</w:t>
      </w:r>
      <w:r>
        <w:t xml:space="preserve">endant </w:t>
      </w:r>
      <w:r w:rsidRPr="00092C5E">
        <w:t>les trois premières années,</w:t>
      </w:r>
    </w:p>
    <w:p w:rsidR="009F3DAD" w:rsidRPr="00092C5E" w:rsidRDefault="009F3DAD" w:rsidP="009F3DAD">
      <w:pPr>
        <w:numPr>
          <w:ilvl w:val="0"/>
          <w:numId w:val="17"/>
        </w:numPr>
        <w:jc w:val="both"/>
      </w:pPr>
      <w:r w:rsidRPr="00092C5E">
        <w:t>à 20% pour les trois années suivantes</w:t>
      </w:r>
      <w:r>
        <w:t>,</w:t>
      </w:r>
      <w:r w:rsidRPr="00092C5E">
        <w:t xml:space="preserve"> et</w:t>
      </w:r>
    </w:p>
    <w:p w:rsidR="009F3DAD" w:rsidRDefault="009F3DAD" w:rsidP="009F3DAD">
      <w:pPr>
        <w:numPr>
          <w:ilvl w:val="0"/>
          <w:numId w:val="17"/>
        </w:numPr>
        <w:jc w:val="both"/>
      </w:pPr>
      <w:r w:rsidRPr="00092C5E">
        <w:t>à 35% par la suite.</w:t>
      </w:r>
    </w:p>
    <w:p w:rsidR="00B06449" w:rsidRPr="00092C5E" w:rsidRDefault="00B06449" w:rsidP="00B06449">
      <w:pPr>
        <w:ind w:left="720"/>
        <w:jc w:val="both"/>
      </w:pPr>
    </w:p>
    <w:p w:rsidR="009F3DAD" w:rsidRPr="00092C5E" w:rsidRDefault="009F3DAD" w:rsidP="009F3DAD">
      <w:pPr>
        <w:jc w:val="both"/>
      </w:pPr>
    </w:p>
    <w:sectPr w:rsidR="009F3DAD" w:rsidRPr="00092C5E" w:rsidSect="009F3DA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1E98">
      <w:r>
        <w:separator/>
      </w:r>
    </w:p>
  </w:endnote>
  <w:endnote w:type="continuationSeparator" w:id="0">
    <w:p w:rsidR="00000000" w:rsidRDefault="0090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87" w:rsidRDefault="005D1D87" w:rsidP="009F3D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D1D87" w:rsidRDefault="005D1D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87" w:rsidRDefault="005D1D87" w:rsidP="009F3D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8027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5D1D87" w:rsidRDefault="005D1D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1E98">
      <w:r>
        <w:separator/>
      </w:r>
    </w:p>
  </w:footnote>
  <w:footnote w:type="continuationSeparator" w:id="0">
    <w:p w:rsidR="00000000" w:rsidRDefault="0090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23C4B"/>
    <w:multiLevelType w:val="hybridMultilevel"/>
    <w:tmpl w:val="5F525C0E"/>
    <w:lvl w:ilvl="0" w:tplc="A1D8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17F0"/>
    <w:multiLevelType w:val="hybridMultilevel"/>
    <w:tmpl w:val="062AC8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25B3"/>
    <w:multiLevelType w:val="hybridMultilevel"/>
    <w:tmpl w:val="F85458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D225D7"/>
    <w:multiLevelType w:val="hybridMultilevel"/>
    <w:tmpl w:val="1564F3CA"/>
    <w:lvl w:ilvl="0" w:tplc="A1D8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13469"/>
    <w:multiLevelType w:val="hybridMultilevel"/>
    <w:tmpl w:val="D3F4F8F6"/>
    <w:lvl w:ilvl="0" w:tplc="096499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Verdan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31EC1"/>
    <w:multiLevelType w:val="hybridMultilevel"/>
    <w:tmpl w:val="5B38DBFA"/>
    <w:lvl w:ilvl="0" w:tplc="240AF7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251FF"/>
    <w:multiLevelType w:val="hybridMultilevel"/>
    <w:tmpl w:val="B37C47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74819"/>
    <w:multiLevelType w:val="hybridMultilevel"/>
    <w:tmpl w:val="46DE2D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1"/>
  </w:num>
  <w:num w:numId="9">
    <w:abstractNumId w:val="15"/>
  </w:num>
  <w:num w:numId="10">
    <w:abstractNumId w:val="16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266A8"/>
    <w:rsid w:val="000D49A9"/>
    <w:rsid w:val="00172FE7"/>
    <w:rsid w:val="001C29A2"/>
    <w:rsid w:val="003A6926"/>
    <w:rsid w:val="00480275"/>
    <w:rsid w:val="005D1D87"/>
    <w:rsid w:val="006362CA"/>
    <w:rsid w:val="00883CD2"/>
    <w:rsid w:val="00886AC8"/>
    <w:rsid w:val="00901E98"/>
    <w:rsid w:val="009F3DAD"/>
    <w:rsid w:val="00B06449"/>
    <w:rsid w:val="00C513B4"/>
    <w:rsid w:val="00DF02C9"/>
    <w:rsid w:val="00E95701"/>
    <w:rsid w:val="00F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B71AA9-7CE6-4787-8267-8F0335C6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42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ev">
    <w:name w:val="Strong"/>
    <w:basedOn w:val="Policepardfaut"/>
    <w:qFormat/>
    <w:rsid w:val="00194395"/>
    <w:rPr>
      <w:b/>
      <w:bCs/>
    </w:rPr>
  </w:style>
  <w:style w:type="character" w:styleId="Accentuation">
    <w:name w:val="Emphasis"/>
    <w:basedOn w:val="Policepardfaut"/>
    <w:qFormat/>
    <w:rsid w:val="00194395"/>
    <w:rPr>
      <w:i/>
      <w:iCs/>
    </w:rPr>
  </w:style>
  <w:style w:type="character" w:styleId="Lienhypertexte">
    <w:name w:val="Hyperlink"/>
    <w:basedOn w:val="Policepardfaut"/>
    <w:rsid w:val="001C302B"/>
    <w:rPr>
      <w:rFonts w:ascii="Verdana" w:hAnsi="Verdana" w:hint="default"/>
      <w:strike w:val="0"/>
      <w:dstrike w:val="0"/>
      <w:color w:val="3247E8"/>
      <w:u w:val="none"/>
      <w:effect w:val="none"/>
    </w:rPr>
  </w:style>
  <w:style w:type="paragraph" w:styleId="Corpsdetexte">
    <w:name w:val="Body Text"/>
    <w:basedOn w:val="Normal"/>
    <w:rsid w:val="000266A8"/>
    <w:rPr>
      <w:b/>
      <w:bCs/>
      <w:lang w:val="fr-CH"/>
    </w:rPr>
  </w:style>
  <w:style w:type="paragraph" w:styleId="Retraitcorpsdetexte2">
    <w:name w:val="Body Text Indent 2"/>
    <w:basedOn w:val="Normal"/>
    <w:rsid w:val="000266A8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DP5297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5297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/sftpecos/Dossiers_parlementaires/5297/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B5E3606-4FB6-4B96-9A10-DC5DC00E54BA}"/>
</file>

<file path=customXml/itemProps2.xml><?xml version="1.0" encoding="utf-8"?>
<ds:datastoreItem xmlns:ds="http://schemas.openxmlformats.org/officeDocument/2006/customXml" ds:itemID="{A2D18331-2409-4979-B187-24972400445C}"/>
</file>

<file path=customXml/itemProps3.xml><?xml version="1.0" encoding="utf-8"?>
<ds:datastoreItem xmlns:ds="http://schemas.openxmlformats.org/officeDocument/2006/customXml" ds:itemID="{833C7942-DCEC-4609-92B1-FAA527D5E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dc:description/>
  <cp:lastModifiedBy>SYSTEM</cp:lastModifiedBy>
  <cp:revision>2</cp:revision>
  <cp:lastPrinted>2005-03-20T17:48:00Z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