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6D" w:rsidRDefault="00E95F6D" w:rsidP="00E95F6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5262</w:t>
      </w:r>
    </w:p>
    <w:p w:rsidR="00E95F6D" w:rsidRDefault="00E95F6D" w:rsidP="00E95F6D">
      <w:pPr>
        <w:jc w:val="center"/>
        <w:rPr>
          <w:rFonts w:ascii="Arial" w:hAnsi="Arial" w:cs="Arial"/>
          <w:b/>
          <w:sz w:val="28"/>
          <w:szCs w:val="28"/>
        </w:rPr>
      </w:pPr>
    </w:p>
    <w:p w:rsidR="00E95F6D" w:rsidRDefault="00E95F6D" w:rsidP="00E95F6D">
      <w:pPr>
        <w:jc w:val="center"/>
        <w:rPr>
          <w:rFonts w:ascii="Arial" w:hAnsi="Arial" w:cs="Arial"/>
          <w:b/>
          <w:sz w:val="28"/>
          <w:szCs w:val="28"/>
        </w:rPr>
      </w:pPr>
    </w:p>
    <w:p w:rsidR="00E95F6D" w:rsidRPr="00E95F6D" w:rsidRDefault="00E95F6D" w:rsidP="00E95F6D">
      <w:pPr>
        <w:jc w:val="center"/>
        <w:rPr>
          <w:rFonts w:ascii="Arial" w:hAnsi="Arial" w:cs="Arial"/>
          <w:b/>
          <w:sz w:val="28"/>
          <w:szCs w:val="28"/>
        </w:rPr>
      </w:pPr>
      <w:r w:rsidRPr="00E95F6D">
        <w:rPr>
          <w:rFonts w:ascii="Arial" w:hAnsi="Arial" w:cs="Arial"/>
          <w:b/>
          <w:sz w:val="28"/>
          <w:szCs w:val="28"/>
        </w:rPr>
        <w:t>Projet de loi portant approbation:</w:t>
      </w:r>
    </w:p>
    <w:p w:rsidR="00E95F6D" w:rsidRPr="00E95F6D" w:rsidRDefault="00E95F6D" w:rsidP="00E95F6D">
      <w:pPr>
        <w:jc w:val="both"/>
        <w:rPr>
          <w:rFonts w:ascii="Arial" w:hAnsi="Arial" w:cs="Arial"/>
          <w:b/>
          <w:sz w:val="28"/>
          <w:szCs w:val="28"/>
        </w:rPr>
      </w:pPr>
      <w:r w:rsidRPr="00E95F6D">
        <w:rPr>
          <w:rFonts w:ascii="Arial" w:hAnsi="Arial" w:cs="Arial"/>
          <w:b/>
          <w:sz w:val="28"/>
          <w:szCs w:val="28"/>
        </w:rPr>
        <w:t>a) de la Convention établie sur la base de l'article K.3 du Traité sur l'Union européenne, relative à la lutte contre la corruption impliquant des fonctionnaires des Communautés européennes ou des fonctionnaires des Etats membres de l'Union européenne, signée à Bruxelles, le 26 mai 1997;</w:t>
      </w:r>
    </w:p>
    <w:p w:rsidR="00E95F6D" w:rsidRPr="00E95F6D" w:rsidRDefault="00E95F6D" w:rsidP="00E95F6D">
      <w:pPr>
        <w:jc w:val="both"/>
        <w:rPr>
          <w:rFonts w:ascii="Arial" w:hAnsi="Arial" w:cs="Arial"/>
          <w:b/>
          <w:sz w:val="28"/>
          <w:szCs w:val="28"/>
        </w:rPr>
      </w:pPr>
      <w:r w:rsidRPr="00E95F6D">
        <w:rPr>
          <w:rFonts w:ascii="Arial" w:hAnsi="Arial" w:cs="Arial"/>
          <w:b/>
          <w:sz w:val="28"/>
          <w:szCs w:val="28"/>
        </w:rPr>
        <w:t>b) du deuxième Protocole établi sur la base de l'article K.3 du Traité sur l'Union européenne, à la Convention relative à la protection des intérêts financiers des Communautés européennes, signé à Bruxelles, le 19 juin 1997;</w:t>
      </w:r>
    </w:p>
    <w:p w:rsidR="00E95F6D" w:rsidRPr="00E95F6D" w:rsidRDefault="00E95F6D" w:rsidP="00E95F6D">
      <w:pPr>
        <w:jc w:val="both"/>
        <w:rPr>
          <w:rFonts w:ascii="Arial" w:hAnsi="Arial" w:cs="Arial"/>
          <w:b/>
          <w:sz w:val="28"/>
          <w:szCs w:val="28"/>
        </w:rPr>
      </w:pPr>
      <w:r w:rsidRPr="00E95F6D">
        <w:rPr>
          <w:rFonts w:ascii="Arial" w:hAnsi="Arial" w:cs="Arial"/>
          <w:b/>
          <w:sz w:val="28"/>
          <w:szCs w:val="28"/>
        </w:rPr>
        <w:t>c) de la Convention pénale sur la corruption, signée à Strasbourg, le 27 janvier 1999;</w:t>
      </w:r>
    </w:p>
    <w:p w:rsidR="00E95F6D" w:rsidRPr="00E95F6D" w:rsidRDefault="00E95F6D" w:rsidP="00E95F6D">
      <w:pPr>
        <w:jc w:val="both"/>
        <w:rPr>
          <w:rFonts w:ascii="Arial" w:hAnsi="Arial" w:cs="Arial"/>
          <w:b/>
          <w:sz w:val="28"/>
          <w:szCs w:val="28"/>
        </w:rPr>
      </w:pPr>
      <w:r w:rsidRPr="00E95F6D">
        <w:rPr>
          <w:rFonts w:ascii="Arial" w:hAnsi="Arial" w:cs="Arial"/>
          <w:b/>
          <w:sz w:val="28"/>
          <w:szCs w:val="28"/>
        </w:rPr>
        <w:t>d) du Protocole additionnel à la Convention pénale sur la corruption, signé à Strasbourg, le 15 mai 2003;</w:t>
      </w:r>
    </w:p>
    <w:p w:rsidR="00E95F6D" w:rsidRDefault="00E95F6D" w:rsidP="00E95F6D">
      <w:pPr>
        <w:jc w:val="both"/>
        <w:rPr>
          <w:rFonts w:ascii="Arial" w:hAnsi="Arial" w:cs="Arial"/>
          <w:b/>
          <w:sz w:val="28"/>
          <w:szCs w:val="28"/>
        </w:rPr>
      </w:pPr>
      <w:r w:rsidRPr="00E95F6D">
        <w:rPr>
          <w:rFonts w:ascii="Arial" w:hAnsi="Arial" w:cs="Arial"/>
          <w:b/>
          <w:sz w:val="28"/>
          <w:szCs w:val="28"/>
        </w:rPr>
        <w:t>et modifiant et complétant certaines dispositions du Code pénal</w:t>
      </w:r>
    </w:p>
    <w:p w:rsidR="00E95F6D" w:rsidRDefault="00E95F6D" w:rsidP="00E95F6D">
      <w:pPr>
        <w:jc w:val="both"/>
        <w:rPr>
          <w:rFonts w:ascii="Arial" w:hAnsi="Arial" w:cs="Arial"/>
          <w:b/>
          <w:sz w:val="28"/>
          <w:szCs w:val="28"/>
        </w:rPr>
      </w:pPr>
    </w:p>
    <w:p w:rsidR="00E95F6D" w:rsidRDefault="00E95F6D" w:rsidP="00E95F6D">
      <w:pPr>
        <w:jc w:val="both"/>
        <w:rPr>
          <w:rFonts w:ascii="Arial" w:hAnsi="Arial" w:cs="Arial"/>
          <w:b/>
          <w:sz w:val="28"/>
          <w:szCs w:val="28"/>
        </w:rPr>
      </w:pPr>
    </w:p>
    <w:p w:rsidR="00E95F6D" w:rsidRDefault="00E95F6D" w:rsidP="00E95F6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Résumé</w:t>
      </w:r>
    </w:p>
    <w:p w:rsidR="00E95F6D" w:rsidRDefault="00E95F6D" w:rsidP="00E95F6D">
      <w:pPr>
        <w:jc w:val="both"/>
        <w:rPr>
          <w:rFonts w:ascii="Arial" w:hAnsi="Arial" w:cs="Arial"/>
        </w:rPr>
      </w:pPr>
    </w:p>
    <w:p w:rsidR="00E95F6D" w:rsidRDefault="00E95F6D" w:rsidP="00E95F6D">
      <w:pPr>
        <w:jc w:val="both"/>
        <w:rPr>
          <w:rFonts w:ascii="Arial" w:hAnsi="Arial" w:cs="Arial"/>
        </w:rPr>
      </w:pPr>
    </w:p>
    <w:p w:rsidR="00E95F6D" w:rsidRDefault="00E95F6D" w:rsidP="00E95F6D">
      <w:pPr>
        <w:jc w:val="both"/>
        <w:rPr>
          <w:rFonts w:ascii="Arial" w:hAnsi="Arial" w:cs="Arial"/>
        </w:rPr>
      </w:pPr>
    </w:p>
    <w:p w:rsidR="005C1FEA" w:rsidRDefault="005C1FEA" w:rsidP="008009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présent projet de loi a pour objet</w:t>
      </w:r>
      <w:r w:rsidR="00A37607">
        <w:rPr>
          <w:rFonts w:ascii="Arial" w:hAnsi="Arial" w:cs="Arial"/>
        </w:rPr>
        <w:t xml:space="preserve"> d’approuver respectivement</w:t>
      </w:r>
      <w:r>
        <w:rPr>
          <w:rFonts w:ascii="Arial" w:hAnsi="Arial" w:cs="Arial"/>
        </w:rPr>
        <w:t xml:space="preserve"> de transposer en droit luxembourgeois différents</w:t>
      </w:r>
      <w:r w:rsidRPr="004A524E">
        <w:rPr>
          <w:rFonts w:ascii="Arial" w:hAnsi="Arial" w:cs="Arial"/>
        </w:rPr>
        <w:t xml:space="preserve"> instruments en matière de répression pénale du phénomène de</w:t>
      </w:r>
      <w:r>
        <w:rPr>
          <w:rFonts w:ascii="Arial" w:hAnsi="Arial" w:cs="Arial"/>
        </w:rPr>
        <w:t xml:space="preserve"> </w:t>
      </w:r>
      <w:r w:rsidRPr="004A524E">
        <w:rPr>
          <w:rFonts w:ascii="Arial" w:hAnsi="Arial" w:cs="Arial"/>
        </w:rPr>
        <w:t>corruption adoptés au sein du Conseil de l'Union européenne et du Conseil de</w:t>
      </w:r>
      <w:r>
        <w:rPr>
          <w:rFonts w:ascii="Arial" w:hAnsi="Arial" w:cs="Arial"/>
        </w:rPr>
        <w:t xml:space="preserve"> </w:t>
      </w:r>
      <w:r w:rsidRPr="004A524E">
        <w:rPr>
          <w:rFonts w:ascii="Arial" w:hAnsi="Arial" w:cs="Arial"/>
        </w:rPr>
        <w:t>l'Europe</w:t>
      </w:r>
      <w:r w:rsidR="00A37607">
        <w:rPr>
          <w:rFonts w:ascii="Arial" w:hAnsi="Arial" w:cs="Arial"/>
        </w:rPr>
        <w:t xml:space="preserve"> entre les années 1997 et 2003</w:t>
      </w:r>
      <w:r>
        <w:rPr>
          <w:rFonts w:ascii="Arial" w:hAnsi="Arial" w:cs="Arial"/>
        </w:rPr>
        <w:t xml:space="preserve">. </w:t>
      </w:r>
    </w:p>
    <w:p w:rsidR="005C1FEA" w:rsidRDefault="005C1FEA" w:rsidP="008009B6">
      <w:pPr>
        <w:jc w:val="both"/>
        <w:rPr>
          <w:rFonts w:ascii="Arial" w:hAnsi="Arial" w:cs="Arial"/>
        </w:rPr>
      </w:pPr>
    </w:p>
    <w:p w:rsidR="008009B6" w:rsidRDefault="00706099" w:rsidP="008009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Ainsi </w:t>
      </w:r>
      <w:r w:rsidR="008009B6" w:rsidRPr="008009B6">
        <w:rPr>
          <w:rFonts w:ascii="Arial" w:hAnsi="Arial" w:cs="Arial"/>
        </w:rPr>
        <w:t>la Convention du 26 juillet</w:t>
      </w:r>
      <w:r w:rsidR="008009B6">
        <w:rPr>
          <w:rFonts w:ascii="Arial" w:hAnsi="Arial" w:cs="Arial"/>
        </w:rPr>
        <w:t xml:space="preserve"> </w:t>
      </w:r>
      <w:r w:rsidR="008009B6" w:rsidRPr="008009B6">
        <w:rPr>
          <w:rFonts w:ascii="Arial" w:hAnsi="Arial" w:cs="Arial"/>
        </w:rPr>
        <w:t>1995 relative à la protection des intérêts financiers des Communautés européennes et son</w:t>
      </w:r>
      <w:r w:rsidR="008009B6">
        <w:rPr>
          <w:rFonts w:ascii="Arial" w:hAnsi="Arial" w:cs="Arial"/>
        </w:rPr>
        <w:t xml:space="preserve"> </w:t>
      </w:r>
      <w:r w:rsidR="008009B6" w:rsidRPr="008009B6">
        <w:rPr>
          <w:rFonts w:ascii="Arial" w:hAnsi="Arial" w:cs="Arial"/>
        </w:rPr>
        <w:t>Protocole du 27 septembre 1996</w:t>
      </w:r>
      <w:r>
        <w:rPr>
          <w:rFonts w:ascii="Arial" w:hAnsi="Arial" w:cs="Arial"/>
        </w:rPr>
        <w:t xml:space="preserve"> ont été complétés par un second</w:t>
      </w:r>
      <w:r w:rsidR="008009B6" w:rsidRPr="008009B6">
        <w:rPr>
          <w:rFonts w:ascii="Arial" w:hAnsi="Arial" w:cs="Arial"/>
        </w:rPr>
        <w:t xml:space="preserve"> Protocole, notamment pour voir incriminer</w:t>
      </w:r>
      <w:r w:rsidR="008009B6">
        <w:rPr>
          <w:rFonts w:ascii="Arial" w:hAnsi="Arial" w:cs="Arial"/>
        </w:rPr>
        <w:t xml:space="preserve"> </w:t>
      </w:r>
      <w:r w:rsidR="008009B6" w:rsidRPr="008009B6">
        <w:rPr>
          <w:rFonts w:ascii="Arial" w:hAnsi="Arial" w:cs="Arial"/>
        </w:rPr>
        <w:t>de manière coordonnée, au niveau de tous les Etats membres de l'Union européenne, les actes</w:t>
      </w:r>
      <w:r w:rsidR="008009B6">
        <w:rPr>
          <w:rFonts w:ascii="Arial" w:hAnsi="Arial" w:cs="Arial"/>
        </w:rPr>
        <w:t xml:space="preserve"> </w:t>
      </w:r>
      <w:r w:rsidR="008009B6" w:rsidRPr="008009B6">
        <w:rPr>
          <w:rFonts w:ascii="Arial" w:hAnsi="Arial" w:cs="Arial"/>
        </w:rPr>
        <w:t>de fraude ou de corruption commis au détriment du budget communautaire pour le compte de</w:t>
      </w:r>
      <w:r w:rsidR="008009B6">
        <w:rPr>
          <w:rFonts w:ascii="Arial" w:hAnsi="Arial" w:cs="Arial"/>
        </w:rPr>
        <w:t xml:space="preserve"> </w:t>
      </w:r>
      <w:r w:rsidR="008009B6" w:rsidRPr="008009B6">
        <w:rPr>
          <w:rFonts w:ascii="Arial" w:hAnsi="Arial" w:cs="Arial"/>
        </w:rPr>
        <w:t>personnes morales, ainsi que le blanchiment du produit de tels actes de fraude ou de</w:t>
      </w:r>
      <w:r w:rsidR="008009B6">
        <w:rPr>
          <w:rFonts w:ascii="Arial" w:hAnsi="Arial" w:cs="Arial"/>
        </w:rPr>
        <w:t xml:space="preserve"> </w:t>
      </w:r>
      <w:r w:rsidR="008009B6" w:rsidRPr="008009B6">
        <w:rPr>
          <w:rFonts w:ascii="Arial" w:hAnsi="Arial" w:cs="Arial"/>
        </w:rPr>
        <w:t>corruption.</w:t>
      </w:r>
    </w:p>
    <w:p w:rsidR="008009B6" w:rsidRDefault="008009B6" w:rsidP="008009B6">
      <w:pPr>
        <w:jc w:val="both"/>
        <w:rPr>
          <w:rFonts w:ascii="Arial" w:hAnsi="Arial" w:cs="Arial"/>
        </w:rPr>
      </w:pPr>
    </w:p>
    <w:p w:rsidR="008009B6" w:rsidRDefault="008009B6" w:rsidP="008009B6">
      <w:pPr>
        <w:jc w:val="both"/>
        <w:rPr>
          <w:rFonts w:ascii="Arial" w:hAnsi="Arial" w:cs="Arial"/>
        </w:rPr>
      </w:pPr>
      <w:r w:rsidRPr="008009B6">
        <w:rPr>
          <w:rFonts w:ascii="Arial" w:hAnsi="Arial" w:cs="Arial"/>
        </w:rPr>
        <w:t>Le nouveau Protocole fut</w:t>
      </w:r>
      <w:r w:rsidR="004A524E">
        <w:rPr>
          <w:rFonts w:ascii="Arial" w:hAnsi="Arial" w:cs="Arial"/>
        </w:rPr>
        <w:t xml:space="preserve"> </w:t>
      </w:r>
      <w:r w:rsidRPr="008009B6">
        <w:rPr>
          <w:rFonts w:ascii="Arial" w:hAnsi="Arial" w:cs="Arial"/>
        </w:rPr>
        <w:t>signé par les Etats membres à Bruxelles, le 19 juin 1997.</w:t>
      </w:r>
    </w:p>
    <w:p w:rsidR="004A524E" w:rsidRDefault="004A524E" w:rsidP="008009B6">
      <w:pPr>
        <w:jc w:val="both"/>
        <w:rPr>
          <w:rFonts w:ascii="Arial" w:hAnsi="Arial" w:cs="Arial"/>
        </w:rPr>
      </w:pPr>
    </w:p>
    <w:p w:rsidR="004A524E" w:rsidRDefault="00A37607" w:rsidP="004A5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Parallèlement </w:t>
      </w:r>
      <w:r w:rsidR="004A524E" w:rsidRPr="004A524E">
        <w:rPr>
          <w:rFonts w:ascii="Arial" w:hAnsi="Arial" w:cs="Arial"/>
        </w:rPr>
        <w:t>une nouvelle Convention à</w:t>
      </w:r>
      <w:r w:rsidR="004A524E">
        <w:rPr>
          <w:rFonts w:ascii="Arial" w:hAnsi="Arial" w:cs="Arial"/>
        </w:rPr>
        <w:t xml:space="preserve"> </w:t>
      </w:r>
      <w:r w:rsidR="004A524E" w:rsidRPr="004A524E">
        <w:rPr>
          <w:rFonts w:ascii="Arial" w:hAnsi="Arial" w:cs="Arial"/>
        </w:rPr>
        <w:t>caractère autonome</w:t>
      </w:r>
      <w:r w:rsidRPr="00A37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fut élaborée</w:t>
      </w:r>
      <w:r w:rsidR="004A524E" w:rsidRPr="004A524E">
        <w:rPr>
          <w:rFonts w:ascii="Arial" w:hAnsi="Arial" w:cs="Arial"/>
        </w:rPr>
        <w:t>, dont l'objectif était d'aboutir à une incrimination cohérente au niveau des</w:t>
      </w:r>
      <w:r w:rsidR="004A524E">
        <w:rPr>
          <w:rFonts w:ascii="Arial" w:hAnsi="Arial" w:cs="Arial"/>
        </w:rPr>
        <w:t xml:space="preserve"> </w:t>
      </w:r>
      <w:r w:rsidR="004A524E" w:rsidRPr="004A524E">
        <w:rPr>
          <w:rFonts w:ascii="Arial" w:hAnsi="Arial" w:cs="Arial"/>
        </w:rPr>
        <w:t>Etats membres, de tous les actes de corruption impliquant des fonctionnaires communautaires</w:t>
      </w:r>
      <w:r w:rsidR="004A524E">
        <w:rPr>
          <w:rFonts w:ascii="Arial" w:hAnsi="Arial" w:cs="Arial"/>
        </w:rPr>
        <w:t xml:space="preserve"> </w:t>
      </w:r>
      <w:r w:rsidR="004A524E" w:rsidRPr="004A524E">
        <w:rPr>
          <w:rFonts w:ascii="Arial" w:hAnsi="Arial" w:cs="Arial"/>
        </w:rPr>
        <w:t>ou des fonctionnaires des Etats membres, indépendamment de leur incidence éventuelle sur</w:t>
      </w:r>
      <w:r w:rsidR="004A524E">
        <w:rPr>
          <w:rFonts w:ascii="Arial" w:hAnsi="Arial" w:cs="Arial"/>
        </w:rPr>
        <w:t xml:space="preserve"> </w:t>
      </w:r>
      <w:r w:rsidR="004A524E" w:rsidRPr="004A524E">
        <w:rPr>
          <w:rFonts w:ascii="Arial" w:hAnsi="Arial" w:cs="Arial"/>
        </w:rPr>
        <w:t>les intérêts financiers communautaires. Cette Convention fut signée</w:t>
      </w:r>
      <w:r>
        <w:rPr>
          <w:rFonts w:ascii="Arial" w:hAnsi="Arial" w:cs="Arial"/>
        </w:rPr>
        <w:t xml:space="preserve"> à Bruxelles,</w:t>
      </w:r>
      <w:r w:rsidR="004A524E" w:rsidRPr="004A524E">
        <w:rPr>
          <w:rFonts w:ascii="Arial" w:hAnsi="Arial" w:cs="Arial"/>
        </w:rPr>
        <w:t xml:space="preserve"> le 26 mai 1997.</w:t>
      </w:r>
    </w:p>
    <w:p w:rsidR="004A524E" w:rsidRDefault="004A524E" w:rsidP="004A524E">
      <w:pPr>
        <w:jc w:val="both"/>
        <w:rPr>
          <w:rFonts w:ascii="Arial" w:hAnsi="Arial" w:cs="Arial"/>
        </w:rPr>
      </w:pPr>
    </w:p>
    <w:p w:rsidR="005C1FEA" w:rsidRDefault="00A37607" w:rsidP="004A5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Au sein du Conseil de l’Europe f</w:t>
      </w:r>
      <w:r w:rsidR="00706099">
        <w:rPr>
          <w:rFonts w:ascii="Arial" w:hAnsi="Arial" w:cs="Arial"/>
        </w:rPr>
        <w:t>ut élaborée</w:t>
      </w:r>
      <w:r w:rsidR="005C1FEA" w:rsidRPr="004A524E">
        <w:rPr>
          <w:rFonts w:ascii="Arial" w:hAnsi="Arial" w:cs="Arial"/>
        </w:rPr>
        <w:t xml:space="preserve"> une Convention pénale sur la corruption prévoyant une incrimination</w:t>
      </w:r>
      <w:r w:rsidR="005C1FEA">
        <w:rPr>
          <w:rFonts w:ascii="Arial" w:hAnsi="Arial" w:cs="Arial"/>
        </w:rPr>
        <w:t xml:space="preserve"> </w:t>
      </w:r>
      <w:r w:rsidR="005C1FEA" w:rsidRPr="004A524E">
        <w:rPr>
          <w:rFonts w:ascii="Arial" w:hAnsi="Arial" w:cs="Arial"/>
        </w:rPr>
        <w:t>coordonnée des infractions de corruption, une coopération renforcée dans la poursuite de ces</w:t>
      </w:r>
      <w:r w:rsidR="005C1FEA">
        <w:rPr>
          <w:rFonts w:ascii="Arial" w:hAnsi="Arial" w:cs="Arial"/>
        </w:rPr>
        <w:t xml:space="preserve"> </w:t>
      </w:r>
      <w:r w:rsidR="007E7144">
        <w:rPr>
          <w:rFonts w:ascii="Arial" w:hAnsi="Arial" w:cs="Arial"/>
        </w:rPr>
        <w:t>infractions,</w:t>
      </w:r>
      <w:r w:rsidR="005C1FEA" w:rsidRPr="004A524E">
        <w:rPr>
          <w:rFonts w:ascii="Arial" w:hAnsi="Arial" w:cs="Arial"/>
        </w:rPr>
        <w:t xml:space="preserve"> un mécanisme de suivi efficace ouvert aux Etats membres et aux Etats non</w:t>
      </w:r>
      <w:r w:rsidR="005C1FEA">
        <w:rPr>
          <w:rFonts w:ascii="Arial" w:hAnsi="Arial" w:cs="Arial"/>
        </w:rPr>
        <w:t>-</w:t>
      </w:r>
      <w:r w:rsidR="007E7144">
        <w:rPr>
          <w:rFonts w:ascii="Arial" w:hAnsi="Arial" w:cs="Arial"/>
        </w:rPr>
        <w:t>membres, et surtout</w:t>
      </w:r>
      <w:r w:rsidR="00901E02">
        <w:rPr>
          <w:rFonts w:ascii="Arial" w:hAnsi="Arial" w:cs="Arial"/>
        </w:rPr>
        <w:t xml:space="preserve"> l’introduction de l’incrimination de la corruption active et pa</w:t>
      </w:r>
      <w:r>
        <w:rPr>
          <w:rFonts w:ascii="Arial" w:hAnsi="Arial" w:cs="Arial"/>
        </w:rPr>
        <w:t>ssive dans le secteur privé. La</w:t>
      </w:r>
      <w:r w:rsidR="00901E02">
        <w:rPr>
          <w:rFonts w:ascii="Arial" w:hAnsi="Arial" w:cs="Arial"/>
        </w:rPr>
        <w:t xml:space="preserve"> Convention pénale sur la corruption fut signée à Strasbourg, le 27 janvier 1999, suivie d’un Protocole additionnel signé</w:t>
      </w:r>
      <w:r>
        <w:rPr>
          <w:rFonts w:ascii="Arial" w:hAnsi="Arial" w:cs="Arial"/>
        </w:rPr>
        <w:t xml:space="preserve"> à Strasbourg,</w:t>
      </w:r>
      <w:r w:rsidR="00901E02">
        <w:rPr>
          <w:rFonts w:ascii="Arial" w:hAnsi="Arial" w:cs="Arial"/>
        </w:rPr>
        <w:t xml:space="preserve"> le 15 mai 2003.</w:t>
      </w:r>
    </w:p>
    <w:p w:rsidR="005C1FEA" w:rsidRDefault="005C1FEA" w:rsidP="004A524E">
      <w:pPr>
        <w:jc w:val="both"/>
        <w:rPr>
          <w:rFonts w:ascii="Arial" w:hAnsi="Arial" w:cs="Arial"/>
        </w:rPr>
      </w:pPr>
    </w:p>
    <w:p w:rsidR="004A524E" w:rsidRDefault="00901E02" w:rsidP="004A5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A524E" w:rsidRPr="004A524E">
        <w:rPr>
          <w:rFonts w:ascii="Arial" w:hAnsi="Arial" w:cs="Arial"/>
        </w:rPr>
        <w:t>e Luxembourg, à l'occasion de</w:t>
      </w:r>
      <w:r w:rsidR="004A524E">
        <w:rPr>
          <w:rFonts w:ascii="Arial" w:hAnsi="Arial" w:cs="Arial"/>
        </w:rPr>
        <w:t xml:space="preserve"> </w:t>
      </w:r>
      <w:r w:rsidR="004A524E" w:rsidRPr="004A524E">
        <w:rPr>
          <w:rFonts w:ascii="Arial" w:hAnsi="Arial" w:cs="Arial"/>
        </w:rPr>
        <w:t>sa présidence du Conseil européen en 1997, proposa, sous la forme d'un projet d'action</w:t>
      </w:r>
      <w:r w:rsidR="004A524E">
        <w:rPr>
          <w:rFonts w:ascii="Arial" w:hAnsi="Arial" w:cs="Arial"/>
        </w:rPr>
        <w:t xml:space="preserve"> </w:t>
      </w:r>
      <w:r w:rsidR="004A524E" w:rsidRPr="004A524E">
        <w:rPr>
          <w:rFonts w:ascii="Arial" w:hAnsi="Arial" w:cs="Arial"/>
        </w:rPr>
        <w:t>commune, une initiative destinée à lutter contre la corruption dans le secteur privé. Cette</w:t>
      </w:r>
      <w:r w:rsidR="004A524E">
        <w:rPr>
          <w:rFonts w:ascii="Arial" w:hAnsi="Arial" w:cs="Arial"/>
        </w:rPr>
        <w:t xml:space="preserve"> </w:t>
      </w:r>
      <w:r w:rsidR="004A524E" w:rsidRPr="004A524E">
        <w:rPr>
          <w:rFonts w:ascii="Arial" w:hAnsi="Arial" w:cs="Arial"/>
        </w:rPr>
        <w:t>action commune, adoptée par le Conseil européen en date du 22 décembre 1998, fut par la</w:t>
      </w:r>
      <w:r w:rsidR="004A524E">
        <w:rPr>
          <w:rFonts w:ascii="Arial" w:hAnsi="Arial" w:cs="Arial"/>
        </w:rPr>
        <w:t xml:space="preserve"> </w:t>
      </w:r>
      <w:r w:rsidR="004A524E" w:rsidRPr="004A524E">
        <w:rPr>
          <w:rFonts w:ascii="Arial" w:hAnsi="Arial" w:cs="Arial"/>
        </w:rPr>
        <w:t xml:space="preserve">suite remplacée par une Décision-cadre </w:t>
      </w:r>
      <w:r w:rsidR="004A524E" w:rsidRPr="004A524E">
        <w:rPr>
          <w:rFonts w:ascii="Arial" w:hAnsi="Arial" w:cs="Arial"/>
          <w:i/>
          <w:iCs/>
        </w:rPr>
        <w:t xml:space="preserve">2003/568/JAl </w:t>
      </w:r>
      <w:r w:rsidR="004A524E" w:rsidRPr="004A524E">
        <w:rPr>
          <w:rFonts w:ascii="Arial" w:hAnsi="Arial" w:cs="Arial"/>
        </w:rPr>
        <w:t>du Conseil du 22 juillet 2003 relative à</w:t>
      </w:r>
      <w:r w:rsidR="004A524E">
        <w:rPr>
          <w:rFonts w:ascii="Arial" w:hAnsi="Arial" w:cs="Arial"/>
        </w:rPr>
        <w:t xml:space="preserve"> </w:t>
      </w:r>
      <w:r w:rsidR="004A524E" w:rsidRPr="004A524E">
        <w:rPr>
          <w:rFonts w:ascii="Arial" w:hAnsi="Arial" w:cs="Arial"/>
        </w:rPr>
        <w:t>la lutte contre la corruption dans le secteur privé.</w:t>
      </w:r>
    </w:p>
    <w:p w:rsidR="004A524E" w:rsidRDefault="004A524E" w:rsidP="004A524E">
      <w:pPr>
        <w:jc w:val="both"/>
        <w:rPr>
          <w:rFonts w:ascii="Arial" w:hAnsi="Arial" w:cs="Arial"/>
        </w:rPr>
      </w:pPr>
    </w:p>
    <w:p w:rsidR="004A524E" w:rsidRDefault="004A524E" w:rsidP="004A524E">
      <w:pPr>
        <w:jc w:val="both"/>
        <w:rPr>
          <w:rFonts w:ascii="Arial" w:hAnsi="Arial" w:cs="Arial"/>
        </w:rPr>
      </w:pPr>
      <w:r w:rsidRPr="004A524E">
        <w:rPr>
          <w:rFonts w:ascii="Arial" w:hAnsi="Arial" w:cs="Arial"/>
        </w:rPr>
        <w:t>Etant donné que le droit pénal luxembourgeois ne punit, à ce jour, que les actes de corruption</w:t>
      </w:r>
      <w:r>
        <w:rPr>
          <w:rFonts w:ascii="Arial" w:hAnsi="Arial" w:cs="Arial"/>
        </w:rPr>
        <w:t xml:space="preserve"> </w:t>
      </w:r>
      <w:r w:rsidRPr="004A524E">
        <w:rPr>
          <w:rFonts w:ascii="Arial" w:hAnsi="Arial" w:cs="Arial"/>
        </w:rPr>
        <w:t>qui impliquent le secteur public, la transposition de cette Décision-cadre</w:t>
      </w:r>
      <w:r w:rsidR="00901E02">
        <w:rPr>
          <w:rFonts w:ascii="Arial" w:hAnsi="Arial" w:cs="Arial"/>
        </w:rPr>
        <w:t xml:space="preserve"> et</w:t>
      </w:r>
      <w:r w:rsidR="00A37607">
        <w:rPr>
          <w:rFonts w:ascii="Arial" w:hAnsi="Arial" w:cs="Arial"/>
        </w:rPr>
        <w:t xml:space="preserve"> l’approbation</w:t>
      </w:r>
      <w:r w:rsidR="00901E02">
        <w:rPr>
          <w:rFonts w:ascii="Arial" w:hAnsi="Arial" w:cs="Arial"/>
        </w:rPr>
        <w:t xml:space="preserve"> de la Convention pénale sur la corruption</w:t>
      </w:r>
      <w:r w:rsidRPr="004A524E">
        <w:rPr>
          <w:rFonts w:ascii="Arial" w:hAnsi="Arial" w:cs="Arial"/>
        </w:rPr>
        <w:t xml:space="preserve"> oblige</w:t>
      </w:r>
      <w:r w:rsidR="00901E02">
        <w:rPr>
          <w:rFonts w:ascii="Arial" w:hAnsi="Arial" w:cs="Arial"/>
        </w:rPr>
        <w:t>nt</w:t>
      </w:r>
      <w:r w:rsidRPr="004A524E">
        <w:rPr>
          <w:rFonts w:ascii="Arial" w:hAnsi="Arial" w:cs="Arial"/>
        </w:rPr>
        <w:t xml:space="preserve"> le</w:t>
      </w:r>
      <w:r>
        <w:rPr>
          <w:rFonts w:ascii="Arial" w:hAnsi="Arial" w:cs="Arial"/>
        </w:rPr>
        <w:t xml:space="preserve"> Luxembourg à complé</w:t>
      </w:r>
      <w:r w:rsidRPr="004A524E">
        <w:rPr>
          <w:rFonts w:ascii="Arial" w:hAnsi="Arial" w:cs="Arial"/>
        </w:rPr>
        <w:t>ter son arsenal législatif par des dispositions réprimant et sanctionnant</w:t>
      </w:r>
      <w:r>
        <w:rPr>
          <w:rFonts w:ascii="Arial" w:hAnsi="Arial" w:cs="Arial"/>
        </w:rPr>
        <w:t xml:space="preserve"> </w:t>
      </w:r>
      <w:r w:rsidRPr="004A524E">
        <w:rPr>
          <w:rFonts w:ascii="Arial" w:hAnsi="Arial" w:cs="Arial"/>
        </w:rPr>
        <w:t>la corruption également lorsqu'elle n'affecte que le secteur privé.</w:t>
      </w:r>
    </w:p>
    <w:p w:rsidR="004A524E" w:rsidRDefault="004A524E" w:rsidP="004A524E">
      <w:pPr>
        <w:jc w:val="both"/>
        <w:rPr>
          <w:rFonts w:ascii="Arial" w:hAnsi="Arial" w:cs="Arial"/>
        </w:rPr>
      </w:pPr>
    </w:p>
    <w:p w:rsidR="00901E02" w:rsidRDefault="00901E02" w:rsidP="004A5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C’est pourquoi le projet de loi prévoit</w:t>
      </w:r>
      <w:r w:rsidR="00A37607">
        <w:rPr>
          <w:rFonts w:ascii="Arial" w:hAnsi="Arial" w:cs="Arial"/>
        </w:rPr>
        <w:t>, outre l’approbation des Conventions et Protocoles figurant dans l’intitulé,</w:t>
      </w:r>
      <w:r>
        <w:rPr>
          <w:rFonts w:ascii="Arial" w:hAnsi="Arial" w:cs="Arial"/>
        </w:rPr>
        <w:t xml:space="preserve"> l’insertion au Code pénal d’un article 310 nouveau incriminant la corruption privée passive</w:t>
      </w:r>
      <w:r w:rsidR="000F0F8D">
        <w:rPr>
          <w:rFonts w:ascii="Arial" w:hAnsi="Arial" w:cs="Arial"/>
        </w:rPr>
        <w:t xml:space="preserve"> et d’un article 310-1 nouveau incriminant la corruption privée active.</w:t>
      </w:r>
    </w:p>
    <w:p w:rsidR="000F0F8D" w:rsidRDefault="000F0F8D" w:rsidP="004A524E">
      <w:pPr>
        <w:jc w:val="both"/>
        <w:rPr>
          <w:rFonts w:ascii="Arial" w:hAnsi="Arial" w:cs="Arial"/>
        </w:rPr>
      </w:pPr>
    </w:p>
    <w:p w:rsidR="000F0F8D" w:rsidRDefault="000F0F8D" w:rsidP="004A5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les deux cas le coupable sera passible d’une peine d’emprisonnement d’un mois à cinq ans et d’une amende de 251 euros à 30.000 euros.</w:t>
      </w:r>
    </w:p>
    <w:p w:rsidR="004A524E" w:rsidRDefault="004A524E" w:rsidP="004A524E">
      <w:pPr>
        <w:jc w:val="both"/>
        <w:rPr>
          <w:rFonts w:ascii="Arial" w:hAnsi="Arial" w:cs="Arial"/>
        </w:rPr>
      </w:pPr>
    </w:p>
    <w:p w:rsidR="004A524E" w:rsidRDefault="004A524E" w:rsidP="004A524E">
      <w:pPr>
        <w:jc w:val="both"/>
        <w:rPr>
          <w:rFonts w:ascii="Arial" w:hAnsi="Arial" w:cs="Arial"/>
        </w:rPr>
      </w:pPr>
    </w:p>
    <w:p w:rsidR="004A524E" w:rsidRDefault="004A524E" w:rsidP="004A524E">
      <w:pPr>
        <w:jc w:val="both"/>
        <w:rPr>
          <w:rFonts w:ascii="Arial" w:hAnsi="Arial" w:cs="Arial"/>
        </w:rPr>
      </w:pPr>
    </w:p>
    <w:p w:rsidR="004A524E" w:rsidRPr="004A524E" w:rsidRDefault="004A524E" w:rsidP="004A524E">
      <w:pPr>
        <w:jc w:val="both"/>
        <w:rPr>
          <w:rFonts w:ascii="Arial" w:hAnsi="Arial" w:cs="Arial"/>
        </w:rPr>
      </w:pPr>
    </w:p>
    <w:p w:rsidR="004A524E" w:rsidRPr="004A524E" w:rsidRDefault="004A524E" w:rsidP="004A524E">
      <w:pPr>
        <w:jc w:val="both"/>
        <w:rPr>
          <w:rFonts w:ascii="Arial" w:hAnsi="Arial" w:cs="Arial"/>
        </w:rPr>
      </w:pPr>
    </w:p>
    <w:p w:rsidR="004A524E" w:rsidRPr="004A524E" w:rsidRDefault="004A524E" w:rsidP="004A524E">
      <w:pPr>
        <w:jc w:val="both"/>
        <w:rPr>
          <w:rFonts w:ascii="Arial" w:hAnsi="Arial" w:cs="Arial"/>
        </w:rPr>
      </w:pPr>
    </w:p>
    <w:p w:rsidR="004A524E" w:rsidRPr="004A524E" w:rsidRDefault="004A524E" w:rsidP="004A524E">
      <w:pPr>
        <w:jc w:val="both"/>
        <w:rPr>
          <w:rFonts w:ascii="Arial" w:hAnsi="Arial" w:cs="Arial"/>
        </w:rPr>
      </w:pPr>
    </w:p>
    <w:p w:rsidR="004A524E" w:rsidRPr="004A524E" w:rsidRDefault="004A524E" w:rsidP="004A524E">
      <w:pPr>
        <w:jc w:val="both"/>
        <w:rPr>
          <w:rFonts w:ascii="Arial" w:hAnsi="Arial" w:cs="Arial"/>
        </w:rPr>
      </w:pPr>
    </w:p>
    <w:p w:rsidR="004A524E" w:rsidRPr="008009B6" w:rsidRDefault="004A524E" w:rsidP="008009B6">
      <w:pPr>
        <w:jc w:val="both"/>
        <w:rPr>
          <w:rFonts w:ascii="Arial" w:hAnsi="Arial" w:cs="Arial"/>
        </w:rPr>
      </w:pPr>
    </w:p>
    <w:p w:rsidR="008009B6" w:rsidRPr="008009B6" w:rsidRDefault="008009B6" w:rsidP="008009B6">
      <w:pPr>
        <w:jc w:val="both"/>
        <w:rPr>
          <w:rFonts w:ascii="Arial" w:hAnsi="Arial" w:cs="Arial"/>
        </w:rPr>
      </w:pPr>
    </w:p>
    <w:p w:rsidR="00E95F6D" w:rsidRPr="00E95F6D" w:rsidRDefault="00E95F6D" w:rsidP="00E95F6D">
      <w:pPr>
        <w:jc w:val="both"/>
        <w:rPr>
          <w:rFonts w:ascii="Arial" w:hAnsi="Arial" w:cs="Arial"/>
        </w:rPr>
      </w:pPr>
    </w:p>
    <w:sectPr w:rsidR="00E95F6D" w:rsidRPr="00E95F6D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5597">
      <w:r>
        <w:separator/>
      </w:r>
    </w:p>
  </w:endnote>
  <w:endnote w:type="continuationSeparator" w:id="0">
    <w:p w:rsidR="00000000" w:rsidRDefault="00BC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02" w:rsidRDefault="00901E02" w:rsidP="005C1FE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01E02" w:rsidRDefault="00901E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02" w:rsidRDefault="00901E02" w:rsidP="005C1FE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C559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901E02" w:rsidRDefault="00901E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5597">
      <w:r>
        <w:separator/>
      </w:r>
    </w:p>
  </w:footnote>
  <w:footnote w:type="continuationSeparator" w:id="0">
    <w:p w:rsidR="00000000" w:rsidRDefault="00BC5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F6D"/>
    <w:rsid w:val="000F0F8D"/>
    <w:rsid w:val="004A524E"/>
    <w:rsid w:val="005C1FEA"/>
    <w:rsid w:val="00706099"/>
    <w:rsid w:val="007E7144"/>
    <w:rsid w:val="008009B6"/>
    <w:rsid w:val="00901E02"/>
    <w:rsid w:val="00A37607"/>
    <w:rsid w:val="00BC5597"/>
    <w:rsid w:val="00E95F6D"/>
    <w:rsid w:val="00EC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014F1160-679B-4904-AD2D-0449D4BE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rsid w:val="005C1FE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C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DP5262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5262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/sftpecos/Dossiers_parlementaires/5262/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10A3D68-9B58-4BB4-B077-A4B643B25F9D}"/>
</file>

<file path=customXml/itemProps2.xml><?xml version="1.0" encoding="utf-8"?>
<ds:datastoreItem xmlns:ds="http://schemas.openxmlformats.org/officeDocument/2006/customXml" ds:itemID="{8F5A4612-AE82-48A1-8C36-7CA0221C46DF}"/>
</file>

<file path=customXml/itemProps3.xml><?xml version="1.0" encoding="utf-8"?>
<ds:datastoreItem xmlns:ds="http://schemas.openxmlformats.org/officeDocument/2006/customXml" ds:itemID="{2BBE9D02-F6B9-4D42-97A0-4B7340ABA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3363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5262</vt:lpstr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dc:description/>
  <cp:lastModifiedBy>SYSTEM</cp:lastModifiedBy>
  <cp:revision>2</cp:revision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