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7D8" w:rsidRDefault="00FB77BA" w:rsidP="002432D2">
      <w:pPr>
        <w:jc w:val="center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0B45" w:rsidRDefault="002432D2" w:rsidP="002432D2">
      <w:pPr>
        <w:jc w:val="center"/>
        <w:rPr>
          <w:sz w:val="32"/>
          <w:szCs w:val="32"/>
        </w:rPr>
      </w:pPr>
      <w:r>
        <w:rPr>
          <w:sz w:val="32"/>
          <w:szCs w:val="32"/>
        </w:rPr>
        <w:t>N° 5198</w:t>
      </w:r>
    </w:p>
    <w:p w:rsidR="002432D2" w:rsidRDefault="002432D2" w:rsidP="002432D2">
      <w:pPr>
        <w:jc w:val="center"/>
        <w:rPr>
          <w:sz w:val="32"/>
          <w:szCs w:val="32"/>
        </w:rPr>
      </w:pPr>
    </w:p>
    <w:p w:rsidR="002432D2" w:rsidRPr="002432D2" w:rsidRDefault="002432D2" w:rsidP="002432D2">
      <w:pPr>
        <w:jc w:val="center"/>
        <w:rPr>
          <w:b/>
          <w:sz w:val="32"/>
          <w:szCs w:val="32"/>
        </w:rPr>
      </w:pPr>
      <w:r w:rsidRPr="002432D2">
        <w:rPr>
          <w:b/>
          <w:sz w:val="32"/>
          <w:szCs w:val="32"/>
        </w:rPr>
        <w:t>CHAMBRE DES DEPUTES</w:t>
      </w:r>
    </w:p>
    <w:p w:rsidR="002432D2" w:rsidRDefault="002432D2" w:rsidP="002432D2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Session ordinaire 2006 – 2007 </w:t>
      </w:r>
    </w:p>
    <w:p w:rsidR="002432D2" w:rsidRDefault="002432D2" w:rsidP="002432D2">
      <w:pPr>
        <w:jc w:val="center"/>
        <w:rPr>
          <w:sz w:val="28"/>
          <w:szCs w:val="28"/>
        </w:rPr>
      </w:pPr>
    </w:p>
    <w:p w:rsidR="002432D2" w:rsidRPr="002432D2" w:rsidRDefault="002432D2" w:rsidP="002432D2">
      <w:pPr>
        <w:jc w:val="center"/>
        <w:rPr>
          <w:b/>
          <w:sz w:val="28"/>
          <w:szCs w:val="28"/>
        </w:rPr>
      </w:pPr>
      <w:r w:rsidRPr="002432D2">
        <w:rPr>
          <w:b/>
          <w:sz w:val="28"/>
          <w:szCs w:val="28"/>
        </w:rPr>
        <w:t xml:space="preserve">PROJET DE LOI </w:t>
      </w:r>
    </w:p>
    <w:p w:rsidR="002432D2" w:rsidRDefault="002432D2" w:rsidP="002432D2">
      <w:pPr>
        <w:jc w:val="center"/>
        <w:rPr>
          <w:sz w:val="28"/>
          <w:szCs w:val="28"/>
        </w:rPr>
      </w:pPr>
      <w:r>
        <w:rPr>
          <w:sz w:val="28"/>
          <w:szCs w:val="28"/>
        </w:rPr>
        <w:t>portant</w:t>
      </w:r>
    </w:p>
    <w:p w:rsidR="002432D2" w:rsidRDefault="002432D2" w:rsidP="002432D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transposition en droit luxembourgeois en matière d’infrastructures de transport de la directive 97/11/CE du Conseil du 3 mars 1997 modifiant la directive 85/337/CEE concernant l’évaluation des incidences de certains projets publics et privés sur l’environnement</w:t>
      </w:r>
    </w:p>
    <w:p w:rsidR="002432D2" w:rsidRDefault="002432D2" w:rsidP="002432D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modification de la loi du 16 août 1967 ayant pour objet la création d’une grande voirie de communication et d’un fonds des routes, telle que modifiée</w:t>
      </w:r>
    </w:p>
    <w:p w:rsidR="002432D2" w:rsidRDefault="002432D2" w:rsidP="002432D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modification de la loi du 10 mai 1995 relative à la gestion de l’infrastructure ferroviaire, telle que modifiée</w:t>
      </w:r>
    </w:p>
    <w:p w:rsidR="002432D2" w:rsidRDefault="002432D2" w:rsidP="002432D2">
      <w:pPr>
        <w:jc w:val="both"/>
        <w:rPr>
          <w:sz w:val="28"/>
          <w:szCs w:val="28"/>
        </w:rPr>
      </w:pPr>
    </w:p>
    <w:p w:rsidR="002432D2" w:rsidRDefault="002432D2" w:rsidP="002432D2">
      <w:pPr>
        <w:jc w:val="center"/>
        <w:rPr>
          <w:sz w:val="28"/>
          <w:szCs w:val="28"/>
        </w:rPr>
      </w:pPr>
      <w:r>
        <w:rPr>
          <w:sz w:val="28"/>
          <w:szCs w:val="28"/>
        </w:rPr>
        <w:t>* * *</w:t>
      </w:r>
    </w:p>
    <w:p w:rsidR="002432D2" w:rsidRDefault="002432D2" w:rsidP="002432D2">
      <w:pPr>
        <w:jc w:val="center"/>
        <w:rPr>
          <w:sz w:val="28"/>
          <w:szCs w:val="28"/>
        </w:rPr>
      </w:pPr>
    </w:p>
    <w:p w:rsidR="00747F57" w:rsidRDefault="00747F57" w:rsidP="00334FBA">
      <w:pPr>
        <w:jc w:val="both"/>
      </w:pPr>
    </w:p>
    <w:p w:rsidR="000E5729" w:rsidRPr="00EE438C" w:rsidRDefault="000E5729" w:rsidP="00334FBA">
      <w:pPr>
        <w:jc w:val="both"/>
      </w:pPr>
    </w:p>
    <w:p w:rsidR="00B925E1" w:rsidRDefault="00B925E1" w:rsidP="002432D2">
      <w:pPr>
        <w:jc w:val="center"/>
        <w:rPr>
          <w:b/>
        </w:rPr>
      </w:pPr>
    </w:p>
    <w:p w:rsidR="000E550D" w:rsidRDefault="00B925E1" w:rsidP="00B925E1">
      <w:pPr>
        <w:jc w:val="both"/>
      </w:pPr>
      <w:r>
        <w:t>Le projet de loi sous rubrique a comme objet</w:t>
      </w:r>
      <w:r w:rsidR="000E550D">
        <w:t> :</w:t>
      </w:r>
    </w:p>
    <w:p w:rsidR="00B925E1" w:rsidRDefault="007E4A18" w:rsidP="000E550D">
      <w:pPr>
        <w:numPr>
          <w:ilvl w:val="0"/>
          <w:numId w:val="2"/>
        </w:numPr>
        <w:jc w:val="both"/>
      </w:pPr>
      <w:r>
        <w:t>l</w:t>
      </w:r>
      <w:r w:rsidR="00B925E1">
        <w:t>a transposition en droit luxembourgeois en matière d’infrastructures de transport de la directive 97/11/CE du Conseil du 3 mars 1997 modifiant la directive 85/337/CEE concernant l’évaluation des incidences de certains projets publics et privés sur l’environnement</w:t>
      </w:r>
      <w:r>
        <w:t> ;</w:t>
      </w:r>
      <w:r w:rsidR="000E550D">
        <w:t xml:space="preserve"> </w:t>
      </w:r>
    </w:p>
    <w:p w:rsidR="000E550D" w:rsidRDefault="007E4A18" w:rsidP="000E550D">
      <w:pPr>
        <w:numPr>
          <w:ilvl w:val="0"/>
          <w:numId w:val="2"/>
        </w:numPr>
        <w:jc w:val="both"/>
      </w:pPr>
      <w:r>
        <w:t>l</w:t>
      </w:r>
      <w:r w:rsidR="000E550D">
        <w:t>a modification de la loi du 16 août 1967 ayant pour objet la création d’une grande voirie de communication et d’un fond</w:t>
      </w:r>
      <w:r>
        <w:t>s des routes telle que modifiée ;</w:t>
      </w:r>
    </w:p>
    <w:p w:rsidR="00181C8E" w:rsidRPr="00DA7ECF" w:rsidRDefault="007E4A18" w:rsidP="00DA7ECF">
      <w:pPr>
        <w:numPr>
          <w:ilvl w:val="0"/>
          <w:numId w:val="2"/>
        </w:numPr>
        <w:jc w:val="both"/>
      </w:pPr>
      <w:r>
        <w:t xml:space="preserve">la </w:t>
      </w:r>
      <w:r w:rsidR="000E550D">
        <w:t xml:space="preserve">modification de la loi du 10 mai 1995 relative à la gestion de l’infrastructure </w:t>
      </w:r>
      <w:r>
        <w:t>ferroviaire, telle que modifiée </w:t>
      </w:r>
      <w:r w:rsidR="008B07D8">
        <w:t>.</w:t>
      </w:r>
    </w:p>
    <w:p w:rsidR="00FE36AA" w:rsidRDefault="00FE36AA" w:rsidP="00181C8E">
      <w:pPr>
        <w:jc w:val="both"/>
      </w:pPr>
    </w:p>
    <w:p w:rsidR="00181C8E" w:rsidRPr="00EE438C" w:rsidRDefault="00181C8E" w:rsidP="00181C8E">
      <w:pPr>
        <w:jc w:val="both"/>
        <w:rPr>
          <w:kern w:val="36"/>
          <w:lang w:val="fr-FR"/>
        </w:rPr>
      </w:pPr>
      <w:r>
        <w:t>La directive 97/11/CE impose aux Etats membres de l’Union européenne (UE) de procéder, avant l’octroi de l’autorisation, à l’évaluation des incidences environnementales</w:t>
      </w:r>
      <w:r w:rsidR="00F72BED">
        <w:t xml:space="preserve"> des projets publics et privés susceptibles d’avoir des effets notables à cet égard. </w:t>
      </w:r>
      <w:r w:rsidR="00F72BED" w:rsidRPr="00F72BED">
        <w:rPr>
          <w:kern w:val="36"/>
          <w:lang w:val="fr-FR"/>
        </w:rPr>
        <w:t>L’objectif est d’identifier ces incidences pour déterminer s’il y a lieu de les prévenir ou de les atténuer. Le public doit être consulté et ses observations doivent être prises en considération dans le processus décisionnel aboutissant à l’autorisation du projet.</w:t>
      </w:r>
      <w:r w:rsidR="00325502">
        <w:rPr>
          <w:kern w:val="36"/>
          <w:lang w:val="fr-FR"/>
        </w:rPr>
        <w:t xml:space="preserve"> </w:t>
      </w:r>
      <w:r w:rsidR="00325502" w:rsidRPr="00EE438C">
        <w:rPr>
          <w:kern w:val="36"/>
          <w:lang w:val="fr-FR"/>
        </w:rPr>
        <w:t>A noter que dans le domaine de l’accès à l’information, sont en vigueur les dispositions de la loi du 31 juillet 2005, portant</w:t>
      </w:r>
      <w:r w:rsidR="005D7F14" w:rsidRPr="00EE438C">
        <w:rPr>
          <w:kern w:val="36"/>
          <w:lang w:val="fr-FR"/>
        </w:rPr>
        <w:t xml:space="preserve"> approbation de la Convention d’</w:t>
      </w:r>
      <w:r w:rsidR="00325502" w:rsidRPr="00EE438C">
        <w:rPr>
          <w:kern w:val="36"/>
          <w:lang w:val="fr-FR"/>
        </w:rPr>
        <w:t>Aarhus.</w:t>
      </w:r>
    </w:p>
    <w:p w:rsidR="00F72BED" w:rsidRDefault="00F72BED" w:rsidP="00FE36AA">
      <w:pPr>
        <w:jc w:val="both"/>
        <w:rPr>
          <w:kern w:val="36"/>
          <w:lang w:val="fr-FR"/>
        </w:rPr>
      </w:pPr>
    </w:p>
    <w:p w:rsidR="00FE36AA" w:rsidRDefault="00404472" w:rsidP="00FE36AA">
      <w:pPr>
        <w:jc w:val="both"/>
        <w:rPr>
          <w:kern w:val="36"/>
          <w:lang w:val="fr-FR"/>
        </w:rPr>
      </w:pPr>
      <w:r>
        <w:rPr>
          <w:kern w:val="36"/>
          <w:lang w:val="fr-FR"/>
        </w:rPr>
        <w:t>Ces études d’impact</w:t>
      </w:r>
      <w:r w:rsidR="00F72BED" w:rsidRPr="00F72BED">
        <w:rPr>
          <w:kern w:val="36"/>
          <w:lang w:val="fr-FR"/>
        </w:rPr>
        <w:t xml:space="preserve"> sont obligatoires pour certains projets tels que la construction d’une autoroute; pour d’autres projets concernant par exemple le développement urbain, les États membres doivent appliquer </w:t>
      </w:r>
      <w:r w:rsidR="007C575E">
        <w:rPr>
          <w:kern w:val="36"/>
          <w:lang w:val="fr-FR"/>
        </w:rPr>
        <w:t>une procédure</w:t>
      </w:r>
      <w:r w:rsidR="00F72BED" w:rsidRPr="00F72BED">
        <w:rPr>
          <w:kern w:val="36"/>
          <w:lang w:val="fr-FR"/>
        </w:rPr>
        <w:t xml:space="preserve"> de contrôle pour identifier ceux qui nécessitent une évaluation. Ils peuvent fixer des seuils ou des critères, procéder à un examen au cas par cas ou </w:t>
      </w:r>
      <w:r w:rsidR="00F72BED" w:rsidRPr="00F72BED">
        <w:rPr>
          <w:kern w:val="36"/>
          <w:lang w:val="fr-FR"/>
        </w:rPr>
        <w:lastRenderedPageBreak/>
        <w:t xml:space="preserve">avoir recours à plusieurs de ces instruments de contrôle, l'objectif étant de faire en sorte que soient évalués tous les projets ayant une incidence sur l'environnement. </w:t>
      </w:r>
      <w:r w:rsidR="00BB16B7">
        <w:rPr>
          <w:kern w:val="36"/>
          <w:lang w:val="fr-FR"/>
        </w:rPr>
        <w:t xml:space="preserve">Cette procédure d’évaluation constitue donc un instrument fondamental de la politique environnementale. </w:t>
      </w:r>
    </w:p>
    <w:p w:rsidR="00FE36AA" w:rsidRDefault="00FE36AA" w:rsidP="00FE36AA">
      <w:pPr>
        <w:jc w:val="both"/>
        <w:rPr>
          <w:kern w:val="36"/>
          <w:lang w:val="fr-FR"/>
        </w:rPr>
      </w:pPr>
    </w:p>
    <w:p w:rsidR="00883371" w:rsidRDefault="00FE36AA" w:rsidP="00F72BED">
      <w:pPr>
        <w:spacing w:after="120"/>
        <w:jc w:val="both"/>
        <w:rPr>
          <w:kern w:val="36"/>
          <w:lang w:val="fr-FR"/>
        </w:rPr>
      </w:pPr>
      <w:r w:rsidRPr="00D06313">
        <w:t>La philosophie</w:t>
      </w:r>
      <w:r w:rsidR="007E4A18" w:rsidRPr="00D06313">
        <w:t xml:space="preserve"> à la base de la directive 97/11/CE est l’harmonisation des règles de</w:t>
      </w:r>
      <w:r w:rsidRPr="00D06313">
        <w:t xml:space="preserve"> tous les pays européens</w:t>
      </w:r>
      <w:r>
        <w:t xml:space="preserve"> afin que les Etats membres se dotent d’une procédure d’évaluation commune, qui réponde aux principes de précaution et de prévention ainsi qu’au principe pollueur-payeur.</w:t>
      </w:r>
    </w:p>
    <w:p w:rsidR="00FE36AA" w:rsidRDefault="00FE36AA" w:rsidP="00883371">
      <w:pPr>
        <w:jc w:val="center"/>
        <w:rPr>
          <w:b/>
          <w:kern w:val="36"/>
          <w:lang w:val="fr-FR"/>
        </w:rPr>
      </w:pPr>
    </w:p>
    <w:p w:rsidR="00DA7ECF" w:rsidRDefault="00DA7ECF" w:rsidP="00883371">
      <w:pPr>
        <w:jc w:val="center"/>
        <w:rPr>
          <w:b/>
          <w:kern w:val="36"/>
          <w:lang w:val="fr-FR"/>
        </w:rPr>
      </w:pPr>
    </w:p>
    <w:sectPr w:rsidR="00DA7EC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010E5">
      <w:r>
        <w:separator/>
      </w:r>
    </w:p>
  </w:endnote>
  <w:endnote w:type="continuationSeparator" w:id="0">
    <w:p w:rsidR="00000000" w:rsidRDefault="00C0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471" w:rsidRDefault="00E56471" w:rsidP="00DF28A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56471" w:rsidRDefault="00E56471" w:rsidP="00CF2FC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471" w:rsidRDefault="00E56471" w:rsidP="00DF28A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010E5">
      <w:rPr>
        <w:rStyle w:val="Numrodepage"/>
        <w:noProof/>
      </w:rPr>
      <w:t>1</w:t>
    </w:r>
    <w:r>
      <w:rPr>
        <w:rStyle w:val="Numrodepage"/>
      </w:rPr>
      <w:fldChar w:fldCharType="end"/>
    </w:r>
  </w:p>
  <w:p w:rsidR="00E56471" w:rsidRDefault="00E56471" w:rsidP="00CF2FC1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010E5">
      <w:r>
        <w:separator/>
      </w:r>
    </w:p>
  </w:footnote>
  <w:footnote w:type="continuationSeparator" w:id="0">
    <w:p w:rsidR="00000000" w:rsidRDefault="00C01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076AA"/>
    <w:multiLevelType w:val="hybridMultilevel"/>
    <w:tmpl w:val="9490D1C2"/>
    <w:lvl w:ilvl="0" w:tplc="1AB6FF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57ABA"/>
    <w:multiLevelType w:val="hybridMultilevel"/>
    <w:tmpl w:val="3990C3A6"/>
    <w:lvl w:ilvl="0" w:tplc="1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902699"/>
    <w:multiLevelType w:val="hybridMultilevel"/>
    <w:tmpl w:val="5588CD1C"/>
    <w:lvl w:ilvl="0" w:tplc="D41CD740">
      <w:start w:val="1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4334A"/>
    <w:multiLevelType w:val="hybridMultilevel"/>
    <w:tmpl w:val="ABC6764E"/>
    <w:lvl w:ilvl="0" w:tplc="9948CE4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DB04DA"/>
    <w:multiLevelType w:val="hybridMultilevel"/>
    <w:tmpl w:val="D8D04C74"/>
    <w:lvl w:ilvl="0" w:tplc="9E10587A">
      <w:start w:val="8"/>
      <w:numFmt w:val="decimal"/>
      <w:lvlText w:val="(%1)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 w15:restartNumberingAfterBreak="0">
    <w:nsid w:val="6E5E4F97"/>
    <w:multiLevelType w:val="hybridMultilevel"/>
    <w:tmpl w:val="3EAE1D98"/>
    <w:lvl w:ilvl="0" w:tplc="C11E3C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224A"/>
    <w:rsid w:val="000065C5"/>
    <w:rsid w:val="0003139B"/>
    <w:rsid w:val="00036BC3"/>
    <w:rsid w:val="00045485"/>
    <w:rsid w:val="000504AA"/>
    <w:rsid w:val="00050623"/>
    <w:rsid w:val="0005163E"/>
    <w:rsid w:val="00065A92"/>
    <w:rsid w:val="00066294"/>
    <w:rsid w:val="00066B71"/>
    <w:rsid w:val="00071FEB"/>
    <w:rsid w:val="00080C62"/>
    <w:rsid w:val="00080FB9"/>
    <w:rsid w:val="00085BAD"/>
    <w:rsid w:val="000903A9"/>
    <w:rsid w:val="000B6814"/>
    <w:rsid w:val="000E550D"/>
    <w:rsid w:val="000E5729"/>
    <w:rsid w:val="000F6AA7"/>
    <w:rsid w:val="00110923"/>
    <w:rsid w:val="0011704B"/>
    <w:rsid w:val="00137917"/>
    <w:rsid w:val="001455E2"/>
    <w:rsid w:val="00155D0E"/>
    <w:rsid w:val="001637CC"/>
    <w:rsid w:val="001702A7"/>
    <w:rsid w:val="00181C8E"/>
    <w:rsid w:val="00182B2E"/>
    <w:rsid w:val="001A005D"/>
    <w:rsid w:val="001A19F6"/>
    <w:rsid w:val="001A5271"/>
    <w:rsid w:val="001A5F77"/>
    <w:rsid w:val="001B03F8"/>
    <w:rsid w:val="001B6AAD"/>
    <w:rsid w:val="001C484E"/>
    <w:rsid w:val="001C5A97"/>
    <w:rsid w:val="001D0F8B"/>
    <w:rsid w:val="001D75D9"/>
    <w:rsid w:val="001E0954"/>
    <w:rsid w:val="001E2E3F"/>
    <w:rsid w:val="001E7929"/>
    <w:rsid w:val="00200BD7"/>
    <w:rsid w:val="0020267C"/>
    <w:rsid w:val="00207925"/>
    <w:rsid w:val="00211364"/>
    <w:rsid w:val="00215B7A"/>
    <w:rsid w:val="002363E2"/>
    <w:rsid w:val="00240B42"/>
    <w:rsid w:val="002432D2"/>
    <w:rsid w:val="002625D4"/>
    <w:rsid w:val="002638A3"/>
    <w:rsid w:val="00264D64"/>
    <w:rsid w:val="00280735"/>
    <w:rsid w:val="002A58FA"/>
    <w:rsid w:val="002B0722"/>
    <w:rsid w:val="002E1B59"/>
    <w:rsid w:val="002E1F59"/>
    <w:rsid w:val="002E264D"/>
    <w:rsid w:val="002E6799"/>
    <w:rsid w:val="00300E0D"/>
    <w:rsid w:val="00301CF7"/>
    <w:rsid w:val="00302C22"/>
    <w:rsid w:val="00303265"/>
    <w:rsid w:val="00310F1F"/>
    <w:rsid w:val="00322C5B"/>
    <w:rsid w:val="00323AF6"/>
    <w:rsid w:val="00325502"/>
    <w:rsid w:val="00334E5D"/>
    <w:rsid w:val="00334FBA"/>
    <w:rsid w:val="003405A9"/>
    <w:rsid w:val="0034287A"/>
    <w:rsid w:val="003538AF"/>
    <w:rsid w:val="00353FF2"/>
    <w:rsid w:val="0037237D"/>
    <w:rsid w:val="00376AEE"/>
    <w:rsid w:val="003872E3"/>
    <w:rsid w:val="0039565F"/>
    <w:rsid w:val="003A7F21"/>
    <w:rsid w:val="003B0D3A"/>
    <w:rsid w:val="003B1EC2"/>
    <w:rsid w:val="003C0B45"/>
    <w:rsid w:val="003C22E7"/>
    <w:rsid w:val="003D38C7"/>
    <w:rsid w:val="003E2B85"/>
    <w:rsid w:val="003E4C4C"/>
    <w:rsid w:val="00404472"/>
    <w:rsid w:val="0041436F"/>
    <w:rsid w:val="00415661"/>
    <w:rsid w:val="0041697E"/>
    <w:rsid w:val="0042551C"/>
    <w:rsid w:val="00431CA9"/>
    <w:rsid w:val="0045191D"/>
    <w:rsid w:val="004577CB"/>
    <w:rsid w:val="00490E78"/>
    <w:rsid w:val="00497A5D"/>
    <w:rsid w:val="004C70BA"/>
    <w:rsid w:val="004E194F"/>
    <w:rsid w:val="004F43EB"/>
    <w:rsid w:val="004F556D"/>
    <w:rsid w:val="00504968"/>
    <w:rsid w:val="00504BD7"/>
    <w:rsid w:val="0051058B"/>
    <w:rsid w:val="00513F8A"/>
    <w:rsid w:val="00516978"/>
    <w:rsid w:val="00530520"/>
    <w:rsid w:val="00534C62"/>
    <w:rsid w:val="00542E69"/>
    <w:rsid w:val="00556552"/>
    <w:rsid w:val="00565E49"/>
    <w:rsid w:val="00574C3E"/>
    <w:rsid w:val="00582EDB"/>
    <w:rsid w:val="005861C5"/>
    <w:rsid w:val="005A6689"/>
    <w:rsid w:val="005B02EF"/>
    <w:rsid w:val="005C05C5"/>
    <w:rsid w:val="005D7F14"/>
    <w:rsid w:val="005E4C7A"/>
    <w:rsid w:val="005E4CB7"/>
    <w:rsid w:val="005F0375"/>
    <w:rsid w:val="005F5DD9"/>
    <w:rsid w:val="00605B25"/>
    <w:rsid w:val="00607EA4"/>
    <w:rsid w:val="006155C5"/>
    <w:rsid w:val="00616CE9"/>
    <w:rsid w:val="00634EB6"/>
    <w:rsid w:val="00637117"/>
    <w:rsid w:val="00637D14"/>
    <w:rsid w:val="00643C67"/>
    <w:rsid w:val="006529C5"/>
    <w:rsid w:val="00676284"/>
    <w:rsid w:val="00677C4C"/>
    <w:rsid w:val="006C3E49"/>
    <w:rsid w:val="006F20C9"/>
    <w:rsid w:val="007110A1"/>
    <w:rsid w:val="007455DA"/>
    <w:rsid w:val="007455E0"/>
    <w:rsid w:val="00747F57"/>
    <w:rsid w:val="0075634C"/>
    <w:rsid w:val="007650B0"/>
    <w:rsid w:val="007761E0"/>
    <w:rsid w:val="007835B4"/>
    <w:rsid w:val="00791D92"/>
    <w:rsid w:val="007A09D6"/>
    <w:rsid w:val="007A1B6F"/>
    <w:rsid w:val="007C575E"/>
    <w:rsid w:val="007D4270"/>
    <w:rsid w:val="007E2C2D"/>
    <w:rsid w:val="007E4A18"/>
    <w:rsid w:val="007F1664"/>
    <w:rsid w:val="007F33A0"/>
    <w:rsid w:val="007F5374"/>
    <w:rsid w:val="00827ECB"/>
    <w:rsid w:val="00835A23"/>
    <w:rsid w:val="0084253A"/>
    <w:rsid w:val="008637E9"/>
    <w:rsid w:val="008717F1"/>
    <w:rsid w:val="0087701F"/>
    <w:rsid w:val="00883371"/>
    <w:rsid w:val="00883B4F"/>
    <w:rsid w:val="008A08F7"/>
    <w:rsid w:val="008A1D76"/>
    <w:rsid w:val="008A2914"/>
    <w:rsid w:val="008A5032"/>
    <w:rsid w:val="008A7777"/>
    <w:rsid w:val="008B07D8"/>
    <w:rsid w:val="008B2EC0"/>
    <w:rsid w:val="008B7956"/>
    <w:rsid w:val="008C6109"/>
    <w:rsid w:val="008D2435"/>
    <w:rsid w:val="008E3425"/>
    <w:rsid w:val="009068E5"/>
    <w:rsid w:val="00910B16"/>
    <w:rsid w:val="00915FCE"/>
    <w:rsid w:val="00924941"/>
    <w:rsid w:val="00935537"/>
    <w:rsid w:val="00940A01"/>
    <w:rsid w:val="00954F4E"/>
    <w:rsid w:val="009639E7"/>
    <w:rsid w:val="009D502E"/>
    <w:rsid w:val="009E46D4"/>
    <w:rsid w:val="00A00B8F"/>
    <w:rsid w:val="00A1730D"/>
    <w:rsid w:val="00A24DC9"/>
    <w:rsid w:val="00A42A12"/>
    <w:rsid w:val="00A666D4"/>
    <w:rsid w:val="00A7366C"/>
    <w:rsid w:val="00AA0CBC"/>
    <w:rsid w:val="00AB3327"/>
    <w:rsid w:val="00AD5C26"/>
    <w:rsid w:val="00AF3CE5"/>
    <w:rsid w:val="00AF73EB"/>
    <w:rsid w:val="00AF77F9"/>
    <w:rsid w:val="00B01F1E"/>
    <w:rsid w:val="00B05DAA"/>
    <w:rsid w:val="00B104B6"/>
    <w:rsid w:val="00B117C5"/>
    <w:rsid w:val="00B179F3"/>
    <w:rsid w:val="00B2123E"/>
    <w:rsid w:val="00B3443B"/>
    <w:rsid w:val="00B37342"/>
    <w:rsid w:val="00B56D04"/>
    <w:rsid w:val="00B6137B"/>
    <w:rsid w:val="00B875C0"/>
    <w:rsid w:val="00B925E1"/>
    <w:rsid w:val="00B96751"/>
    <w:rsid w:val="00BA5F51"/>
    <w:rsid w:val="00BA6CF4"/>
    <w:rsid w:val="00BB16B7"/>
    <w:rsid w:val="00BB32F4"/>
    <w:rsid w:val="00BD13F4"/>
    <w:rsid w:val="00BE122F"/>
    <w:rsid w:val="00BE2CC7"/>
    <w:rsid w:val="00BE5D29"/>
    <w:rsid w:val="00BF7424"/>
    <w:rsid w:val="00BF7B91"/>
    <w:rsid w:val="00C010E5"/>
    <w:rsid w:val="00C14E7E"/>
    <w:rsid w:val="00C27EB8"/>
    <w:rsid w:val="00C302B6"/>
    <w:rsid w:val="00C602A6"/>
    <w:rsid w:val="00C66B7F"/>
    <w:rsid w:val="00C71379"/>
    <w:rsid w:val="00C73299"/>
    <w:rsid w:val="00C74649"/>
    <w:rsid w:val="00C8240E"/>
    <w:rsid w:val="00C854D1"/>
    <w:rsid w:val="00C963FD"/>
    <w:rsid w:val="00CB087E"/>
    <w:rsid w:val="00CB4ED5"/>
    <w:rsid w:val="00CD3672"/>
    <w:rsid w:val="00CF2FC1"/>
    <w:rsid w:val="00CF334D"/>
    <w:rsid w:val="00D06313"/>
    <w:rsid w:val="00D21634"/>
    <w:rsid w:val="00D4114C"/>
    <w:rsid w:val="00D438D7"/>
    <w:rsid w:val="00D44E46"/>
    <w:rsid w:val="00D47520"/>
    <w:rsid w:val="00D510E4"/>
    <w:rsid w:val="00D55C48"/>
    <w:rsid w:val="00D56310"/>
    <w:rsid w:val="00D57D43"/>
    <w:rsid w:val="00D625ED"/>
    <w:rsid w:val="00D71E7E"/>
    <w:rsid w:val="00D863A1"/>
    <w:rsid w:val="00D939BB"/>
    <w:rsid w:val="00DA1A04"/>
    <w:rsid w:val="00DA299D"/>
    <w:rsid w:val="00DA6818"/>
    <w:rsid w:val="00DA77ED"/>
    <w:rsid w:val="00DA7ECF"/>
    <w:rsid w:val="00DB57B2"/>
    <w:rsid w:val="00DF28A4"/>
    <w:rsid w:val="00DF59D3"/>
    <w:rsid w:val="00E0682A"/>
    <w:rsid w:val="00E10338"/>
    <w:rsid w:val="00E1701B"/>
    <w:rsid w:val="00E403C8"/>
    <w:rsid w:val="00E56471"/>
    <w:rsid w:val="00E57394"/>
    <w:rsid w:val="00E7224A"/>
    <w:rsid w:val="00E7388F"/>
    <w:rsid w:val="00E75490"/>
    <w:rsid w:val="00E85F41"/>
    <w:rsid w:val="00E95F8D"/>
    <w:rsid w:val="00EB4874"/>
    <w:rsid w:val="00EC041D"/>
    <w:rsid w:val="00ED1F0B"/>
    <w:rsid w:val="00ED6BB9"/>
    <w:rsid w:val="00EE438C"/>
    <w:rsid w:val="00EE4820"/>
    <w:rsid w:val="00EF2E85"/>
    <w:rsid w:val="00EF3250"/>
    <w:rsid w:val="00F0730C"/>
    <w:rsid w:val="00F35F9E"/>
    <w:rsid w:val="00F60F3B"/>
    <w:rsid w:val="00F66EDF"/>
    <w:rsid w:val="00F72BED"/>
    <w:rsid w:val="00F750E6"/>
    <w:rsid w:val="00F75D75"/>
    <w:rsid w:val="00F82BCC"/>
    <w:rsid w:val="00F87023"/>
    <w:rsid w:val="00F977F2"/>
    <w:rsid w:val="00FA09D7"/>
    <w:rsid w:val="00FA373F"/>
    <w:rsid w:val="00FB77BA"/>
    <w:rsid w:val="00FD1C61"/>
    <w:rsid w:val="00FD269D"/>
    <w:rsid w:val="00FE142F"/>
    <w:rsid w:val="00FE18A7"/>
    <w:rsid w:val="00FE3455"/>
    <w:rsid w:val="00FE36AA"/>
    <w:rsid w:val="00FE3C7F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BAC09E2E-A649-422F-B2BC-8A9D068A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5">
    <w:name w:val="heading 5"/>
    <w:basedOn w:val="Normal"/>
    <w:next w:val="Normal"/>
    <w:qFormat/>
    <w:rsid w:val="007455DA"/>
    <w:pPr>
      <w:keepNext/>
      <w:autoSpaceDE w:val="0"/>
      <w:autoSpaceDN w:val="0"/>
      <w:adjustRightInd w:val="0"/>
      <w:ind w:right="26" w:firstLine="340"/>
      <w:jc w:val="both"/>
      <w:outlineLvl w:val="4"/>
    </w:pPr>
    <w:rPr>
      <w:rFonts w:ascii="Arial" w:hAnsi="Arial" w:cs="Arial"/>
      <w:b/>
      <w:lang w:val="fr-CH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rsid w:val="00CF2FC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CF2FC1"/>
  </w:style>
  <w:style w:type="paragraph" w:styleId="Textedebulles">
    <w:name w:val="Balloon Text"/>
    <w:basedOn w:val="Normal"/>
    <w:semiHidden/>
    <w:rsid w:val="00334E5D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7455DA"/>
    <w:pPr>
      <w:autoSpaceDE w:val="0"/>
      <w:autoSpaceDN w:val="0"/>
      <w:adjustRightInd w:val="0"/>
      <w:ind w:right="540"/>
      <w:jc w:val="both"/>
    </w:pPr>
    <w:rPr>
      <w:sz w:val="20"/>
      <w:szCs w:val="20"/>
      <w:lang w:val="fr-FR" w:eastAsia="fr-FR"/>
    </w:rPr>
  </w:style>
  <w:style w:type="paragraph" w:styleId="Normalcentr">
    <w:name w:val="Block Text"/>
    <w:basedOn w:val="Normal"/>
    <w:rsid w:val="007455DA"/>
    <w:pPr>
      <w:tabs>
        <w:tab w:val="left" w:pos="360"/>
      </w:tabs>
      <w:autoSpaceDE w:val="0"/>
      <w:autoSpaceDN w:val="0"/>
      <w:adjustRightInd w:val="0"/>
      <w:ind w:left="360" w:right="540" w:hanging="360"/>
      <w:jc w:val="both"/>
    </w:pPr>
    <w:rPr>
      <w:sz w:val="20"/>
      <w:szCs w:val="20"/>
      <w:lang w:val="fr-FR" w:eastAsia="fr-FR"/>
    </w:rPr>
  </w:style>
  <w:style w:type="paragraph" w:styleId="Retraitcorpsdetexte">
    <w:name w:val="Body Text Indent"/>
    <w:basedOn w:val="Normal"/>
    <w:rsid w:val="007455DA"/>
    <w:pPr>
      <w:tabs>
        <w:tab w:val="left" w:pos="360"/>
      </w:tabs>
      <w:autoSpaceDE w:val="0"/>
      <w:autoSpaceDN w:val="0"/>
      <w:adjustRightInd w:val="0"/>
      <w:ind w:right="540" w:firstLine="360"/>
      <w:jc w:val="both"/>
    </w:pPr>
    <w:rPr>
      <w:sz w:val="20"/>
      <w:szCs w:val="20"/>
      <w:lang w:val="fr-FR" w:eastAsia="fr-FR"/>
    </w:rPr>
  </w:style>
  <w:style w:type="paragraph" w:styleId="Retraitcorpsdetexte3">
    <w:name w:val="Body Text Indent 3"/>
    <w:basedOn w:val="Normal"/>
    <w:rsid w:val="007455DA"/>
    <w:pPr>
      <w:autoSpaceDE w:val="0"/>
      <w:autoSpaceDN w:val="0"/>
      <w:adjustRightInd w:val="0"/>
      <w:ind w:right="540" w:firstLine="340"/>
      <w:jc w:val="both"/>
    </w:pPr>
    <w:rPr>
      <w:sz w:val="20"/>
      <w:szCs w:val="20"/>
      <w:lang w:val="fr-FR" w:eastAsia="fr-FR"/>
    </w:rPr>
  </w:style>
  <w:style w:type="paragraph" w:styleId="En-tte">
    <w:name w:val="header"/>
    <w:basedOn w:val="Normal"/>
    <w:rsid w:val="007455DA"/>
    <w:pPr>
      <w:tabs>
        <w:tab w:val="center" w:pos="4153"/>
        <w:tab w:val="right" w:pos="8306"/>
      </w:tabs>
    </w:pPr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DP5198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5198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/sftpecos/Dossiers_parlementaires/5198/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B21C92C4-81E2-45E4-A3D4-B55F857E645A}"/>
</file>

<file path=customXml/itemProps2.xml><?xml version="1.0" encoding="utf-8"?>
<ds:datastoreItem xmlns:ds="http://schemas.openxmlformats.org/officeDocument/2006/customXml" ds:itemID="{403E60D6-CE61-4F97-9520-62A245839147}"/>
</file>

<file path=customXml/itemProps3.xml><?xml version="1.0" encoding="utf-8"?>
<ds:datastoreItem xmlns:ds="http://schemas.openxmlformats.org/officeDocument/2006/customXml" ds:itemID="{CBE04D65-B2C4-49D5-AF53-2D4FD4E785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2394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CSV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mhengel</dc:creator>
  <cp:keywords/>
  <dc:description/>
  <cp:lastModifiedBy>SYSTEM</cp:lastModifiedBy>
  <cp:revision>2</cp:revision>
  <cp:lastPrinted>2006-12-18T12:34:00Z</cp:lastPrinted>
  <dcterms:created xsi:type="dcterms:W3CDTF">2024-02-21T07:41:00Z</dcterms:created>
  <dcterms:modified xsi:type="dcterms:W3CDTF">2024-02-21T07:41:00Z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